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B" w:rsidRPr="00D108E6" w:rsidRDefault="007B4F81" w:rsidP="003451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0E18A" wp14:editId="476956A8">
                <wp:simplePos x="0" y="0"/>
                <wp:positionH relativeFrom="column">
                  <wp:posOffset>4158343</wp:posOffset>
                </wp:positionH>
                <wp:positionV relativeFrom="paragraph">
                  <wp:posOffset>-76201</wp:posOffset>
                </wp:positionV>
                <wp:extent cx="1436370" cy="119742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1197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81" w:rsidRDefault="007B4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140" cy="1109182"/>
                                  <wp:effectExtent l="0" t="0" r="0" b="0"/>
                                  <wp:docPr id="2" name="Picture 2" descr="new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109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45pt;margin-top:-6pt;width:113.1pt;height:9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" fillcolor="white [3201]" stroked="f" strokeweight=".5pt">
                <v:textbox>
                  <w:txbxContent>
                    <w:p w:rsidR="007B4F81" w:rsidRDefault="007B4F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140" cy="1109182"/>
                            <wp:effectExtent l="0" t="0" r="0" b="0"/>
                            <wp:docPr id="2" name="Picture 2" descr="new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109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6E5B" w:rsidRPr="00D108E6">
        <w:rPr>
          <w:rFonts w:ascii="Arial" w:hAnsi="Arial" w:cs="Arial"/>
          <w:b/>
          <w:sz w:val="24"/>
          <w:szCs w:val="24"/>
        </w:rPr>
        <w:t>International C</w:t>
      </w:r>
      <w:r w:rsidR="00C10461">
        <w:rPr>
          <w:rFonts w:ascii="Arial" w:hAnsi="Arial" w:cs="Arial"/>
          <w:b/>
          <w:sz w:val="24"/>
          <w:szCs w:val="24"/>
        </w:rPr>
        <w:t>lassifications of Diseases (ICD</w:t>
      </w:r>
      <w:r w:rsidR="00976E5B" w:rsidRPr="00D108E6">
        <w:rPr>
          <w:rFonts w:ascii="Arial" w:hAnsi="Arial" w:cs="Arial"/>
          <w:b/>
          <w:sz w:val="24"/>
          <w:szCs w:val="24"/>
        </w:rPr>
        <w:t>)</w:t>
      </w:r>
    </w:p>
    <w:p w:rsidR="00263913" w:rsidRPr="00D108E6" w:rsidRDefault="00976E5B" w:rsidP="003451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D108E6">
        <w:rPr>
          <w:rFonts w:ascii="Arial" w:hAnsi="Arial" w:cs="Arial"/>
          <w:b/>
          <w:sz w:val="24"/>
          <w:szCs w:val="24"/>
        </w:rPr>
        <w:t>and</w:t>
      </w:r>
      <w:proofErr w:type="gramEnd"/>
      <w:r w:rsidRPr="00D108E6">
        <w:rPr>
          <w:rFonts w:ascii="Arial" w:hAnsi="Arial" w:cs="Arial"/>
          <w:b/>
          <w:sz w:val="24"/>
          <w:szCs w:val="24"/>
        </w:rPr>
        <w:t xml:space="preserve"> </w:t>
      </w:r>
      <w:r w:rsidR="001F5C76">
        <w:rPr>
          <w:rFonts w:ascii="Arial" w:hAnsi="Arial" w:cs="Arial"/>
          <w:b/>
          <w:sz w:val="24"/>
          <w:szCs w:val="24"/>
        </w:rPr>
        <w:t xml:space="preserve">the CT </w:t>
      </w:r>
      <w:r w:rsidRPr="00D108E6">
        <w:rPr>
          <w:rFonts w:ascii="Arial" w:hAnsi="Arial" w:cs="Arial"/>
          <w:b/>
          <w:sz w:val="24"/>
          <w:szCs w:val="24"/>
        </w:rPr>
        <w:t>Birth to Three</w:t>
      </w:r>
      <w:r w:rsidR="001F5C76">
        <w:rPr>
          <w:rFonts w:ascii="Arial" w:hAnsi="Arial" w:cs="Arial"/>
          <w:b/>
          <w:sz w:val="24"/>
          <w:szCs w:val="24"/>
        </w:rPr>
        <w:t xml:space="preserve"> System</w:t>
      </w:r>
    </w:p>
    <w:p w:rsidR="00451F09" w:rsidRPr="00D108E6" w:rsidRDefault="007B4F81" w:rsidP="002639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3451E0" w:rsidRPr="007B4F81" w:rsidRDefault="0014318F" w:rsidP="007B4F81">
      <w:pPr>
        <w:spacing w:before="100" w:beforeAutospacing="1"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Clinical Opinion of Developmental Delay</w:t>
      </w:r>
    </w:p>
    <w:p w:rsidR="003451E0" w:rsidRDefault="007B4F81" w:rsidP="007B4F8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14318F" w:rsidRDefault="003451E0" w:rsidP="00D108E6">
      <w:pPr>
        <w:spacing w:before="100" w:beforeAutospacing="1" w:after="100" w:afterAutospacing="1" w:line="270" w:lineRule="atLeast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ICD-10 </w:t>
      </w:r>
      <w:r w:rsidRPr="003451E0">
        <w:rPr>
          <w:rFonts w:ascii="Arial" w:hAnsi="Arial" w:cs="Arial"/>
          <w:sz w:val="24"/>
          <w:szCs w:val="24"/>
        </w:rPr>
        <w:t xml:space="preserve">code </w:t>
      </w:r>
      <w:r w:rsidR="0014318F">
        <w:rPr>
          <w:rFonts w:ascii="Arial" w:hAnsi="Arial" w:cs="Arial"/>
          <w:b/>
          <w:sz w:val="24"/>
          <w:szCs w:val="24"/>
        </w:rPr>
        <w:t xml:space="preserve">  </w:t>
      </w:r>
      <w:r w:rsidR="0014318F" w:rsidRPr="0014318F">
        <w:rPr>
          <w:b/>
          <w:bCs/>
          <w:sz w:val="24"/>
          <w:szCs w:val="24"/>
        </w:rPr>
        <w:t>R62.50</w:t>
      </w:r>
    </w:p>
    <w:p w:rsidR="007B4F81" w:rsidRPr="0014318F" w:rsidRDefault="0014318F" w:rsidP="00D108E6">
      <w:pPr>
        <w:spacing w:before="100" w:beforeAutospacing="1" w:after="100" w:afterAutospacing="1" w:line="270" w:lineRule="atLeast"/>
        <w:rPr>
          <w:rFonts w:ascii="Arial" w:hAnsi="Arial" w:cs="Arial"/>
          <w:b/>
          <w:sz w:val="24"/>
          <w:szCs w:val="24"/>
        </w:rPr>
      </w:pPr>
      <w:r w:rsidRPr="0014318F">
        <w:rPr>
          <w:rFonts w:ascii="Arial" w:hAnsi="Arial" w:cs="Arial"/>
          <w:sz w:val="24"/>
          <w:szCs w:val="24"/>
        </w:rPr>
        <w:t xml:space="preserve"> “Unspecified lack of expected normal physiological development in childhood”</w:t>
      </w:r>
    </w:p>
    <w:p w:rsidR="007B4F81" w:rsidRDefault="0014318F" w:rsidP="00D108E6">
      <w:pPr>
        <w:spacing w:before="100" w:beforeAutospacing="1" w:after="100" w:afterAutospacing="1" w:line="27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14318F" w:rsidRDefault="0014318F" w:rsidP="00D108E6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is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Pr="0014318F">
        <w:rPr>
          <w:rFonts w:ascii="Arial" w:hAnsi="Arial" w:cs="Arial"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 use permitted for this code.  It is not valid as an Evaluated Diagnosis.</w:t>
      </w:r>
    </w:p>
    <w:p w:rsidR="0014318F" w:rsidRDefault="0014318F" w:rsidP="00D108E6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child found eligible due to </w:t>
      </w:r>
      <w:proofErr w:type="spellStart"/>
      <w:r>
        <w:rPr>
          <w:rFonts w:ascii="Arial" w:hAnsi="Arial" w:cs="Arial"/>
          <w:sz w:val="24"/>
          <w:szCs w:val="24"/>
        </w:rPr>
        <w:t>CoDD</w:t>
      </w:r>
      <w:proofErr w:type="spellEnd"/>
      <w:r>
        <w:rPr>
          <w:rFonts w:ascii="Arial" w:hAnsi="Arial" w:cs="Arial"/>
          <w:sz w:val="24"/>
          <w:szCs w:val="24"/>
        </w:rPr>
        <w:t xml:space="preserve"> must have eligibility determined using a standardized </w:t>
      </w:r>
      <w:proofErr w:type="gramStart"/>
      <w:r>
        <w:rPr>
          <w:rFonts w:ascii="Arial" w:hAnsi="Arial" w:cs="Arial"/>
          <w:sz w:val="24"/>
          <w:szCs w:val="24"/>
        </w:rPr>
        <w:t xml:space="preserve">instrument  </w:t>
      </w:r>
      <w:proofErr w:type="spellStart"/>
      <w:r>
        <w:rPr>
          <w:rFonts w:ascii="Arial" w:hAnsi="Arial" w:cs="Arial"/>
          <w:sz w:val="24"/>
          <w:szCs w:val="24"/>
        </w:rPr>
        <w:t>iwthin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six months. </w:t>
      </w:r>
    </w:p>
    <w:p w:rsidR="0014318F" w:rsidRDefault="0014318F" w:rsidP="00D108E6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4318F" w:rsidRDefault="0014318F" w:rsidP="00D108E6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the Procedure entitled, “Initial Evaluation and Assessment”, page 4, excerpted here:</w:t>
      </w:r>
    </w:p>
    <w:p w:rsidR="0014318F" w:rsidRDefault="0014318F" w:rsidP="0014318F">
      <w:p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  <w:r w:rsidRPr="00904D3B">
        <w:rPr>
          <w:b/>
        </w:rPr>
        <w:t>Eligibility Using Clinical Opinion to Substantiate Developmental Delay</w:t>
      </w:r>
    </w:p>
    <w:p w:rsidR="0014318F" w:rsidRPr="00FD0F46" w:rsidRDefault="0014318F" w:rsidP="0014318F">
      <w:pPr>
        <w:rPr>
          <w:color w:val="000000"/>
        </w:rPr>
      </w:pPr>
      <w:r>
        <w:rPr>
          <w:color w:val="000000"/>
        </w:rPr>
        <w:t xml:space="preserve">Infrequently, standardized instruments cannot be completed because they are not applicable due to an infant’s age or significant illness, or </w:t>
      </w:r>
      <w:r w:rsidRPr="00A82E5D">
        <w:rPr>
          <w:color w:val="000000"/>
        </w:rPr>
        <w:t>would require significant adaptation for a child to perform the items, thereby invalidating the results</w:t>
      </w:r>
      <w:r>
        <w:rPr>
          <w:color w:val="000000"/>
        </w:rPr>
        <w:t xml:space="preserve">.  </w:t>
      </w:r>
      <w:r w:rsidRPr="00D260C5">
        <w:t xml:space="preserve">When this is the case, the informed clinical opinion </w:t>
      </w:r>
      <w:r>
        <w:t>of an appropriately composed evaluation team</w:t>
      </w:r>
      <w:r w:rsidRPr="00D260C5">
        <w:t xml:space="preserve"> may be used to </w:t>
      </w:r>
      <w:r w:rsidRPr="00D260C5">
        <w:rPr>
          <w:i/>
        </w:rPr>
        <w:t>substantiate the equivalent delay of 2 SD below the mean in one area of development or 1.5 SD below the mean in two areas of development</w:t>
      </w:r>
      <w:r>
        <w:t>.</w:t>
      </w:r>
      <w:r>
        <w:rPr>
          <w:color w:val="000000"/>
        </w:rPr>
        <w:t xml:space="preserve">  Prior to deciding to use clinical opinion, </w:t>
      </w:r>
      <w:r>
        <w:rPr>
          <w:szCs w:val="24"/>
        </w:rPr>
        <w:t>d</w:t>
      </w:r>
      <w:r w:rsidRPr="00136B2A">
        <w:rPr>
          <w:szCs w:val="24"/>
        </w:rPr>
        <w:t xml:space="preserve">omain specific </w:t>
      </w:r>
      <w:r>
        <w:rPr>
          <w:szCs w:val="24"/>
        </w:rPr>
        <w:t>SNR</w:t>
      </w:r>
      <w:r w:rsidRPr="00136B2A">
        <w:rPr>
          <w:szCs w:val="24"/>
        </w:rPr>
        <w:t xml:space="preserve"> tools that have more concentration in one area should be </w:t>
      </w:r>
      <w:r>
        <w:rPr>
          <w:szCs w:val="24"/>
        </w:rPr>
        <w:t xml:space="preserve">considered. </w:t>
      </w:r>
      <w:r w:rsidRPr="00136B2A">
        <w:rPr>
          <w:szCs w:val="24"/>
        </w:rPr>
        <w:t xml:space="preserve"> </w:t>
      </w:r>
    </w:p>
    <w:p w:rsidR="0014318F" w:rsidRDefault="0014318F" w:rsidP="0014318F">
      <w:pPr>
        <w:rPr>
          <w:szCs w:val="24"/>
        </w:rPr>
      </w:pPr>
    </w:p>
    <w:p w:rsidR="0014318F" w:rsidRPr="009F442F" w:rsidRDefault="0014318F" w:rsidP="0014318F">
      <w:pPr>
        <w:rPr>
          <w:szCs w:val="24"/>
        </w:rPr>
      </w:pPr>
      <w:r w:rsidRPr="009F442F">
        <w:rPr>
          <w:szCs w:val="24"/>
        </w:rPr>
        <w:t>When eligibility determination is made through use of clinical opinion, the child:</w:t>
      </w:r>
    </w:p>
    <w:p w:rsidR="0014318F" w:rsidRPr="006C4D8C" w:rsidRDefault="0014318F" w:rsidP="0014318F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6C4D8C">
        <w:rPr>
          <w:szCs w:val="24"/>
        </w:rPr>
        <w:t xml:space="preserve">Must be re-evaluated within 6 months using a </w:t>
      </w:r>
      <w:r>
        <w:rPr>
          <w:szCs w:val="24"/>
        </w:rPr>
        <w:t>SNR</w:t>
      </w:r>
      <w:r w:rsidRPr="006C4D8C">
        <w:rPr>
          <w:szCs w:val="24"/>
        </w:rPr>
        <w:t xml:space="preserve"> tool and exhibit delay meeting eligibility criteria to remain in program (</w:t>
      </w:r>
      <w:r w:rsidRPr="006C4D8C">
        <w:rPr>
          <w:szCs w:val="24"/>
          <w:u w:val="single"/>
        </w:rPr>
        <w:t xml:space="preserve">Do Not </w:t>
      </w:r>
      <w:r w:rsidRPr="006C4D8C">
        <w:rPr>
          <w:szCs w:val="24"/>
        </w:rPr>
        <w:t>change eligibility status in data system)</w:t>
      </w:r>
    </w:p>
    <w:p w:rsidR="0014318F" w:rsidRPr="00190686" w:rsidRDefault="0014318F" w:rsidP="0014318F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0C7181">
        <w:rPr>
          <w:szCs w:val="24"/>
        </w:rPr>
        <w:t xml:space="preserve">Should be exited within the month if they do not meet eligibility criteria, noting completion of IFSP as reason for exit and documenting in </w:t>
      </w:r>
      <w:r>
        <w:rPr>
          <w:szCs w:val="24"/>
        </w:rPr>
        <w:t>the data system</w:t>
      </w:r>
      <w:r w:rsidRPr="000C7181">
        <w:rPr>
          <w:szCs w:val="24"/>
        </w:rPr>
        <w:t xml:space="preserve"> that initial eligibility was due to clinical opinion and the child no longer meets eligibility criteria.  </w:t>
      </w:r>
    </w:p>
    <w:p w:rsidR="0014318F" w:rsidRPr="0014318F" w:rsidRDefault="0014318F" w:rsidP="00D108E6">
      <w:pPr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</w:p>
    <w:sectPr w:rsidR="0014318F" w:rsidRPr="0014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FA8"/>
    <w:multiLevelType w:val="hybridMultilevel"/>
    <w:tmpl w:val="3A74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B27"/>
    <w:multiLevelType w:val="hybridMultilevel"/>
    <w:tmpl w:val="D824888E"/>
    <w:lvl w:ilvl="0" w:tplc="1BB40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42B7"/>
    <w:multiLevelType w:val="hybridMultilevel"/>
    <w:tmpl w:val="2C5E8E1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33C00825"/>
    <w:multiLevelType w:val="hybridMultilevel"/>
    <w:tmpl w:val="282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34DDB"/>
    <w:multiLevelType w:val="hybridMultilevel"/>
    <w:tmpl w:val="2FF426EA"/>
    <w:lvl w:ilvl="0" w:tplc="23C8F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71931"/>
    <w:multiLevelType w:val="multilevel"/>
    <w:tmpl w:val="2AD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18"/>
    <w:rsid w:val="00021DE4"/>
    <w:rsid w:val="0004341B"/>
    <w:rsid w:val="000573AB"/>
    <w:rsid w:val="00083118"/>
    <w:rsid w:val="000C5BED"/>
    <w:rsid w:val="0014318F"/>
    <w:rsid w:val="00186ACF"/>
    <w:rsid w:val="001A3E1A"/>
    <w:rsid w:val="001F5C76"/>
    <w:rsid w:val="0024370D"/>
    <w:rsid w:val="00263913"/>
    <w:rsid w:val="002B2C8A"/>
    <w:rsid w:val="0032209A"/>
    <w:rsid w:val="003451E0"/>
    <w:rsid w:val="00363FE6"/>
    <w:rsid w:val="003A03B0"/>
    <w:rsid w:val="003B6576"/>
    <w:rsid w:val="003C05C1"/>
    <w:rsid w:val="00451F09"/>
    <w:rsid w:val="00505452"/>
    <w:rsid w:val="00562CEF"/>
    <w:rsid w:val="006102A6"/>
    <w:rsid w:val="006E3C8C"/>
    <w:rsid w:val="006E47D0"/>
    <w:rsid w:val="007A01AA"/>
    <w:rsid w:val="007A0D7F"/>
    <w:rsid w:val="007B4F81"/>
    <w:rsid w:val="00802976"/>
    <w:rsid w:val="008812DC"/>
    <w:rsid w:val="0097408E"/>
    <w:rsid w:val="00976E5B"/>
    <w:rsid w:val="009E246E"/>
    <w:rsid w:val="00A86391"/>
    <w:rsid w:val="00AE063E"/>
    <w:rsid w:val="00C10461"/>
    <w:rsid w:val="00C42D80"/>
    <w:rsid w:val="00D108E6"/>
    <w:rsid w:val="00D56408"/>
    <w:rsid w:val="00DA116D"/>
    <w:rsid w:val="00E05E97"/>
    <w:rsid w:val="00E92A89"/>
    <w:rsid w:val="00E9310A"/>
    <w:rsid w:val="00EF1B66"/>
    <w:rsid w:val="00EF6C7F"/>
    <w:rsid w:val="00F37F12"/>
    <w:rsid w:val="00F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39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913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47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39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913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47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mcmurrere</dc:creator>
  <cp:lastModifiedBy>McMurrerE</cp:lastModifiedBy>
  <cp:revision>3</cp:revision>
  <cp:lastPrinted>2014-03-26T21:29:00Z</cp:lastPrinted>
  <dcterms:created xsi:type="dcterms:W3CDTF">2015-10-01T15:41:00Z</dcterms:created>
  <dcterms:modified xsi:type="dcterms:W3CDTF">2015-10-01T15:48:00Z</dcterms:modified>
</cp:coreProperties>
</file>