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4" w:rsidRPr="00771904" w:rsidRDefault="00771904">
      <w:pPr>
        <w:rPr>
          <w:rFonts w:cs="Arial"/>
          <w:b/>
          <w:noProof/>
          <w:sz w:val="24"/>
        </w:rPr>
      </w:pPr>
    </w:p>
    <w:p w:rsidR="00771904" w:rsidRPr="00771904" w:rsidRDefault="00771904" w:rsidP="00771904">
      <w:pPr>
        <w:spacing w:after="120"/>
        <w:rPr>
          <w:rFonts w:cs="Arial"/>
          <w:sz w:val="24"/>
        </w:rPr>
      </w:pPr>
      <w:r w:rsidRPr="00771904">
        <w:rPr>
          <w:rFonts w:cs="Arial"/>
          <w:sz w:val="24"/>
        </w:rPr>
        <w:t xml:space="preserve">To: </w:t>
      </w:r>
      <w:r w:rsidRPr="00771904">
        <w:rPr>
          <w:rFonts w:cs="Arial"/>
          <w:sz w:val="24"/>
        </w:rPr>
        <w:tab/>
        <w:t>Gregg Corr, Director MSIP</w:t>
      </w:r>
    </w:p>
    <w:p w:rsidR="00771904" w:rsidRPr="00771904" w:rsidRDefault="00771904" w:rsidP="00771904">
      <w:pPr>
        <w:spacing w:after="120"/>
        <w:rPr>
          <w:rFonts w:cs="Arial"/>
          <w:sz w:val="24"/>
        </w:rPr>
      </w:pPr>
      <w:r w:rsidRPr="00771904">
        <w:rPr>
          <w:rFonts w:cs="Arial"/>
          <w:sz w:val="24"/>
        </w:rPr>
        <w:t>From:</w:t>
      </w:r>
      <w:r w:rsidRPr="00771904">
        <w:rPr>
          <w:rFonts w:cs="Arial"/>
          <w:sz w:val="24"/>
        </w:rPr>
        <w:tab/>
        <w:t xml:space="preserve">Alice </w:t>
      </w:r>
      <w:r w:rsidR="00BA0F8D">
        <w:rPr>
          <w:rFonts w:cs="Arial"/>
          <w:sz w:val="24"/>
        </w:rPr>
        <w:t xml:space="preserve">E. </w:t>
      </w:r>
      <w:r w:rsidRPr="00771904">
        <w:rPr>
          <w:rFonts w:cs="Arial"/>
          <w:sz w:val="24"/>
        </w:rPr>
        <w:t xml:space="preserve">Ridgway, Part C Accountability Manager </w:t>
      </w:r>
    </w:p>
    <w:p w:rsidR="00771904" w:rsidRPr="00771904" w:rsidRDefault="00771904" w:rsidP="00771904">
      <w:pPr>
        <w:spacing w:after="120"/>
        <w:rPr>
          <w:rFonts w:cs="Arial"/>
          <w:sz w:val="24"/>
        </w:rPr>
      </w:pPr>
      <w:r w:rsidRPr="00771904">
        <w:rPr>
          <w:rFonts w:cs="Arial"/>
          <w:sz w:val="24"/>
        </w:rPr>
        <w:t xml:space="preserve">Date: </w:t>
      </w:r>
      <w:r w:rsidRPr="00771904">
        <w:rPr>
          <w:rFonts w:cs="Arial"/>
          <w:sz w:val="24"/>
        </w:rPr>
        <w:tab/>
      </w:r>
      <w:r w:rsidRPr="00771904">
        <w:rPr>
          <w:rFonts w:cs="Arial"/>
          <w:color w:val="000000" w:themeColor="text1"/>
          <w:sz w:val="24"/>
        </w:rPr>
        <w:t>April 1</w:t>
      </w:r>
      <w:r w:rsidR="002024EF">
        <w:rPr>
          <w:rFonts w:cs="Arial"/>
          <w:color w:val="000000" w:themeColor="text1"/>
          <w:sz w:val="24"/>
        </w:rPr>
        <w:t>6</w:t>
      </w:r>
      <w:bookmarkStart w:id="0" w:name="_GoBack"/>
      <w:bookmarkEnd w:id="0"/>
      <w:r w:rsidRPr="00771904">
        <w:rPr>
          <w:rFonts w:cs="Arial"/>
          <w:color w:val="000000" w:themeColor="text1"/>
          <w:sz w:val="24"/>
        </w:rPr>
        <w:t>, 2014</w:t>
      </w:r>
    </w:p>
    <w:p w:rsidR="00771904" w:rsidRPr="00771904" w:rsidRDefault="00BA0F8D" w:rsidP="00771904">
      <w:pPr>
        <w:spacing w:after="120"/>
        <w:rPr>
          <w:rFonts w:cs="Arial"/>
          <w:sz w:val="24"/>
        </w:rPr>
      </w:pPr>
      <w:r>
        <w:rPr>
          <w:rFonts w:cs="Arial"/>
          <w:sz w:val="24"/>
        </w:rPr>
        <w:t xml:space="preserve">Re: </w:t>
      </w:r>
      <w:r>
        <w:rPr>
          <w:rFonts w:cs="Arial"/>
          <w:sz w:val="24"/>
        </w:rPr>
        <w:tab/>
        <w:t>Response to ct-status-2014</w:t>
      </w:r>
      <w:r w:rsidR="00771904" w:rsidRPr="00771904">
        <w:rPr>
          <w:rFonts w:cs="Arial"/>
          <w:sz w:val="24"/>
        </w:rPr>
        <w:t>c.doc</w:t>
      </w:r>
    </w:p>
    <w:p w:rsidR="00771904" w:rsidRDefault="00771904" w:rsidP="00771904">
      <w:pPr>
        <w:rPr>
          <w:rFonts w:cs="Arial"/>
          <w:sz w:val="24"/>
        </w:rPr>
      </w:pPr>
    </w:p>
    <w:p w:rsidR="00BA0F8D" w:rsidRPr="00771904" w:rsidRDefault="00BA0F8D" w:rsidP="00771904">
      <w:pPr>
        <w:rPr>
          <w:rFonts w:cs="Arial"/>
          <w:sz w:val="24"/>
        </w:rPr>
      </w:pPr>
    </w:p>
    <w:p w:rsidR="00771904" w:rsidRPr="00771904" w:rsidRDefault="00771904" w:rsidP="00771904">
      <w:pPr>
        <w:rPr>
          <w:rFonts w:cs="Arial"/>
          <w:sz w:val="24"/>
        </w:rPr>
      </w:pPr>
      <w:r w:rsidRPr="00771904">
        <w:rPr>
          <w:rFonts w:cs="Arial"/>
          <w:sz w:val="24"/>
        </w:rPr>
        <w:t xml:space="preserve">This is Connecticut’s revised Annual Performance Report (APR) </w:t>
      </w:r>
      <w:r>
        <w:rPr>
          <w:rFonts w:cs="Arial"/>
          <w:sz w:val="24"/>
        </w:rPr>
        <w:t>for the Federal Fiscal Year 2012 (FFY12</w:t>
      </w:r>
      <w:r w:rsidRPr="00771904">
        <w:rPr>
          <w:rFonts w:cs="Arial"/>
          <w:sz w:val="24"/>
        </w:rPr>
        <w:t xml:space="preserve"> or 7/1/1</w:t>
      </w:r>
      <w:r>
        <w:rPr>
          <w:rFonts w:cs="Arial"/>
          <w:sz w:val="24"/>
        </w:rPr>
        <w:t>2</w:t>
      </w:r>
      <w:r w:rsidRPr="00771904">
        <w:rPr>
          <w:rFonts w:cs="Arial"/>
          <w:sz w:val="24"/>
        </w:rPr>
        <w:t xml:space="preserve"> – 6</w:t>
      </w:r>
      <w:r>
        <w:rPr>
          <w:rFonts w:cs="Arial"/>
          <w:sz w:val="24"/>
        </w:rPr>
        <w:t>/30/13</w:t>
      </w:r>
      <w:r w:rsidRPr="00771904">
        <w:rPr>
          <w:rFonts w:cs="Arial"/>
          <w:sz w:val="24"/>
        </w:rPr>
        <w:t xml:space="preserve">).  Based on feedback from the Office of Special Education Programs received on April </w:t>
      </w:r>
      <w:r w:rsidR="00BA0F8D">
        <w:rPr>
          <w:rFonts w:cs="Arial"/>
          <w:sz w:val="24"/>
        </w:rPr>
        <w:t>9</w:t>
      </w:r>
      <w:r w:rsidRPr="00771904">
        <w:rPr>
          <w:rFonts w:cs="Arial"/>
          <w:sz w:val="24"/>
        </w:rPr>
        <w:t>, 201</w:t>
      </w:r>
      <w:r w:rsidR="00BA0F8D">
        <w:rPr>
          <w:rFonts w:cs="Arial"/>
          <w:sz w:val="24"/>
        </w:rPr>
        <w:t>4</w:t>
      </w:r>
      <w:r w:rsidRPr="00771904">
        <w:rPr>
          <w:rFonts w:cs="Arial"/>
          <w:sz w:val="24"/>
        </w:rPr>
        <w:t>, changes were made as described below and as highlighted in th</w:t>
      </w:r>
      <w:r w:rsidR="00917181">
        <w:rPr>
          <w:rFonts w:cs="Arial"/>
          <w:sz w:val="24"/>
        </w:rPr>
        <w:t>is</w:t>
      </w:r>
      <w:r w:rsidRPr="00771904">
        <w:rPr>
          <w:rFonts w:cs="Arial"/>
          <w:sz w:val="24"/>
        </w:rPr>
        <w:t xml:space="preserve"> APR in </w:t>
      </w:r>
      <w:r w:rsidR="00E71F84">
        <w:rPr>
          <w:rFonts w:cs="Arial"/>
          <w:b/>
          <w:color w:val="7030A0"/>
          <w:sz w:val="24"/>
        </w:rPr>
        <w:t>purple</w:t>
      </w:r>
      <w:r w:rsidR="00BA0F8D" w:rsidRPr="00E71F84">
        <w:rPr>
          <w:rFonts w:cs="Arial"/>
          <w:b/>
          <w:color w:val="7030A0"/>
          <w:sz w:val="24"/>
        </w:rPr>
        <w:t xml:space="preserve"> on page 16 (</w:t>
      </w:r>
      <w:hyperlink w:anchor="Ind8b" w:history="1">
        <w:r w:rsidR="00BA0F8D" w:rsidRPr="00E71F84">
          <w:rPr>
            <w:rStyle w:val="Hyperlink"/>
            <w:rFonts w:cs="Arial"/>
            <w:b/>
            <w:color w:val="7030A0"/>
            <w:sz w:val="24"/>
            <w:u w:val="single"/>
          </w:rPr>
          <w:t>Bookmark Ind8b</w:t>
        </w:r>
      </w:hyperlink>
      <w:r w:rsidR="00BA0F8D" w:rsidRPr="00E71F84">
        <w:rPr>
          <w:rFonts w:cs="Arial"/>
          <w:b/>
          <w:color w:val="7030A0"/>
          <w:sz w:val="24"/>
        </w:rPr>
        <w:t>).</w:t>
      </w:r>
    </w:p>
    <w:p w:rsidR="00771904" w:rsidRPr="00771904" w:rsidRDefault="00771904" w:rsidP="00771904">
      <w:pPr>
        <w:pStyle w:val="StyleLeft025"/>
        <w:ind w:left="0"/>
        <w:rPr>
          <w:rFonts w:cs="Arial"/>
          <w:sz w:val="24"/>
          <w:szCs w:val="24"/>
          <w:u w:val="single"/>
        </w:rPr>
      </w:pPr>
    </w:p>
    <w:p w:rsidR="00771904" w:rsidRPr="00771904" w:rsidRDefault="00E71F84" w:rsidP="00771904">
      <w:pPr>
        <w:pStyle w:val="StyleLeft025"/>
        <w:ind w:left="0"/>
        <w:rPr>
          <w:rFonts w:cs="Arial"/>
          <w:sz w:val="24"/>
          <w:szCs w:val="24"/>
        </w:rPr>
      </w:pPr>
      <w:r>
        <w:rPr>
          <w:rFonts w:cs="Arial"/>
          <w:sz w:val="24"/>
          <w:szCs w:val="24"/>
        </w:rPr>
        <w:t xml:space="preserve">A more detailed description about </w:t>
      </w:r>
      <w:r w:rsidR="00BA0F8D">
        <w:rPr>
          <w:rFonts w:cs="Arial"/>
          <w:sz w:val="24"/>
          <w:szCs w:val="24"/>
        </w:rPr>
        <w:t xml:space="preserve">the nightly data transfers of notification data for all eligible children over age 2 ½ </w:t>
      </w:r>
      <w:r>
        <w:rPr>
          <w:rFonts w:cs="Arial"/>
          <w:sz w:val="24"/>
          <w:szCs w:val="24"/>
        </w:rPr>
        <w:t xml:space="preserve">now </w:t>
      </w:r>
      <w:r w:rsidR="00BA0F8D" w:rsidRPr="00BA0F8D">
        <w:rPr>
          <w:rFonts w:cs="Arial"/>
          <w:sz w:val="24"/>
          <w:szCs w:val="24"/>
        </w:rPr>
        <w:t>specifically address</w:t>
      </w:r>
      <w:r w:rsidR="00BA0F8D">
        <w:rPr>
          <w:rFonts w:cs="Arial"/>
          <w:sz w:val="24"/>
          <w:szCs w:val="24"/>
        </w:rPr>
        <w:t>es</w:t>
      </w:r>
      <w:r w:rsidR="00BA0F8D" w:rsidRPr="00BA0F8D">
        <w:rPr>
          <w:rFonts w:cs="Arial"/>
          <w:sz w:val="24"/>
          <w:szCs w:val="24"/>
        </w:rPr>
        <w:t xml:space="preserve"> the requirement to notify </w:t>
      </w:r>
      <w:r w:rsidR="00F01E98">
        <w:rPr>
          <w:rFonts w:cs="Arial"/>
          <w:sz w:val="24"/>
          <w:szCs w:val="24"/>
        </w:rPr>
        <w:t xml:space="preserve">both </w:t>
      </w:r>
      <w:r w:rsidR="00BA0F8D" w:rsidRPr="00BA0F8D">
        <w:rPr>
          <w:rFonts w:cs="Arial"/>
          <w:sz w:val="24"/>
          <w:szCs w:val="24"/>
        </w:rPr>
        <w:t xml:space="preserve">the </w:t>
      </w:r>
      <w:r w:rsidR="00F01E98">
        <w:rPr>
          <w:rFonts w:cs="Arial"/>
          <w:sz w:val="24"/>
          <w:szCs w:val="24"/>
        </w:rPr>
        <w:t>State Department of Education (</w:t>
      </w:r>
      <w:r w:rsidR="00BA0F8D" w:rsidRPr="00BA0F8D">
        <w:rPr>
          <w:rFonts w:cs="Arial"/>
          <w:sz w:val="24"/>
          <w:szCs w:val="24"/>
        </w:rPr>
        <w:t>SEA</w:t>
      </w:r>
      <w:r w:rsidR="00F01E98">
        <w:rPr>
          <w:rFonts w:cs="Arial"/>
          <w:sz w:val="24"/>
          <w:szCs w:val="24"/>
        </w:rPr>
        <w:t>)</w:t>
      </w:r>
      <w:r w:rsidR="00BA0F8D" w:rsidRPr="00BA0F8D">
        <w:rPr>
          <w:rFonts w:cs="Arial"/>
          <w:sz w:val="24"/>
          <w:szCs w:val="24"/>
        </w:rPr>
        <w:t xml:space="preserve"> in addition to the LEA and to provide the required notification at least 90 days prior to </w:t>
      </w:r>
      <w:r w:rsidR="00BA0F8D">
        <w:rPr>
          <w:rFonts w:cs="Arial"/>
          <w:sz w:val="24"/>
          <w:szCs w:val="24"/>
        </w:rPr>
        <w:t xml:space="preserve">each </w:t>
      </w:r>
      <w:r w:rsidR="00BA0F8D" w:rsidRPr="00BA0F8D">
        <w:rPr>
          <w:rFonts w:cs="Arial"/>
          <w:sz w:val="24"/>
          <w:szCs w:val="24"/>
        </w:rPr>
        <w:t>toddlers’ third birthday</w:t>
      </w:r>
      <w:r w:rsidR="00BA0F8D">
        <w:rPr>
          <w:rFonts w:cs="Arial"/>
          <w:sz w:val="24"/>
          <w:szCs w:val="24"/>
        </w:rPr>
        <w:t>.</w:t>
      </w:r>
    </w:p>
    <w:p w:rsidR="00771904" w:rsidRDefault="00771904" w:rsidP="00771904">
      <w:pPr>
        <w:pStyle w:val="StyleLeft025"/>
        <w:ind w:left="0"/>
        <w:rPr>
          <w:rFonts w:cs="Arial"/>
          <w:sz w:val="24"/>
          <w:szCs w:val="24"/>
        </w:rPr>
      </w:pPr>
    </w:p>
    <w:p w:rsidR="00BA0F8D" w:rsidRDefault="00BA0F8D" w:rsidP="00771904">
      <w:pPr>
        <w:pStyle w:val="StyleLeft025"/>
        <w:ind w:left="0"/>
        <w:rPr>
          <w:rFonts w:cs="Arial"/>
          <w:sz w:val="24"/>
          <w:szCs w:val="24"/>
        </w:rPr>
      </w:pPr>
      <w:r>
        <w:rPr>
          <w:rFonts w:cs="Arial"/>
          <w:sz w:val="24"/>
          <w:szCs w:val="24"/>
        </w:rPr>
        <w:t xml:space="preserve">It is anticipated that this clarification will also change the rating on the rubric used for Indicator C14 and that Connecticut will </w:t>
      </w:r>
      <w:r w:rsidR="00F01E98">
        <w:rPr>
          <w:rFonts w:cs="Arial"/>
          <w:sz w:val="24"/>
          <w:szCs w:val="24"/>
        </w:rPr>
        <w:t xml:space="preserve">be </w:t>
      </w:r>
      <w:r>
        <w:rPr>
          <w:rFonts w:cs="Arial"/>
          <w:sz w:val="24"/>
          <w:szCs w:val="24"/>
        </w:rPr>
        <w:t>determined to have 100% timely and accurate data.</w:t>
      </w:r>
    </w:p>
    <w:p w:rsidR="00BA0F8D" w:rsidRDefault="00BA0F8D" w:rsidP="00771904">
      <w:pPr>
        <w:pStyle w:val="StyleLeft025"/>
        <w:ind w:left="0"/>
        <w:rPr>
          <w:rFonts w:cs="Arial"/>
          <w:sz w:val="24"/>
          <w:szCs w:val="24"/>
        </w:rPr>
      </w:pPr>
    </w:p>
    <w:p w:rsidR="00F01E98" w:rsidRDefault="00771904" w:rsidP="00771904">
      <w:pPr>
        <w:pStyle w:val="StyleLeft025"/>
        <w:ind w:left="0"/>
        <w:rPr>
          <w:rFonts w:cs="Arial"/>
          <w:sz w:val="24"/>
          <w:szCs w:val="24"/>
        </w:rPr>
      </w:pPr>
      <w:r w:rsidRPr="00771904">
        <w:rPr>
          <w:rFonts w:cs="Arial"/>
          <w:sz w:val="24"/>
          <w:szCs w:val="24"/>
        </w:rPr>
        <w:t xml:space="preserve">This APR is available on Birth23.org on the </w:t>
      </w:r>
      <w:hyperlink r:id="rId8" w:history="1">
        <w:r w:rsidRPr="00F01E98">
          <w:rPr>
            <w:rStyle w:val="Hyperlink"/>
            <w:rFonts w:cs="Arial"/>
            <w:sz w:val="24"/>
            <w:szCs w:val="24"/>
          </w:rPr>
          <w:t>Annual Performance Report</w:t>
        </w:r>
      </w:hyperlink>
      <w:r w:rsidRPr="00771904">
        <w:rPr>
          <w:rFonts w:cs="Arial"/>
          <w:sz w:val="24"/>
          <w:szCs w:val="24"/>
        </w:rPr>
        <w:t xml:space="preserve"> page </w:t>
      </w:r>
      <w:r w:rsidR="00F01E98">
        <w:rPr>
          <w:rFonts w:cs="Arial"/>
          <w:sz w:val="24"/>
          <w:szCs w:val="24"/>
        </w:rPr>
        <w:t xml:space="preserve">which is </w:t>
      </w:r>
      <w:r w:rsidR="00F01E98" w:rsidRPr="00771904">
        <w:rPr>
          <w:rFonts w:cs="Arial"/>
          <w:sz w:val="24"/>
          <w:szCs w:val="24"/>
        </w:rPr>
        <w:t xml:space="preserve">under </w:t>
      </w:r>
      <w:r w:rsidR="00F01E98">
        <w:rPr>
          <w:rFonts w:cs="Arial"/>
          <w:sz w:val="24"/>
          <w:szCs w:val="24"/>
        </w:rPr>
        <w:t xml:space="preserve">the </w:t>
      </w:r>
      <w:r w:rsidR="00F01E98" w:rsidRPr="00771904">
        <w:rPr>
          <w:rFonts w:cs="Arial"/>
          <w:sz w:val="24"/>
          <w:szCs w:val="24"/>
        </w:rPr>
        <w:t>How Are We Doing?</w:t>
      </w:r>
      <w:r w:rsidR="00F01E98">
        <w:rPr>
          <w:rFonts w:cs="Arial"/>
          <w:sz w:val="24"/>
          <w:szCs w:val="24"/>
        </w:rPr>
        <w:t xml:space="preserve"> </w:t>
      </w:r>
      <w:proofErr w:type="gramStart"/>
      <w:r w:rsidR="00F01E98">
        <w:rPr>
          <w:rFonts w:cs="Arial"/>
          <w:sz w:val="24"/>
          <w:szCs w:val="24"/>
        </w:rPr>
        <w:t>menu</w:t>
      </w:r>
      <w:proofErr w:type="gramEnd"/>
      <w:r w:rsidR="00F01E98">
        <w:rPr>
          <w:rFonts w:cs="Arial"/>
          <w:sz w:val="24"/>
          <w:szCs w:val="24"/>
        </w:rPr>
        <w:t xml:space="preserve"> on the left of the screen.</w:t>
      </w:r>
    </w:p>
    <w:p w:rsidR="00F01E98" w:rsidRDefault="00F01E98" w:rsidP="00771904">
      <w:pPr>
        <w:pStyle w:val="StyleLeft025"/>
        <w:ind w:left="0"/>
        <w:rPr>
          <w:rFonts w:cs="Arial"/>
          <w:sz w:val="24"/>
          <w:szCs w:val="24"/>
        </w:rPr>
      </w:pPr>
    </w:p>
    <w:p w:rsidR="00771904" w:rsidRPr="00771904" w:rsidRDefault="00771904" w:rsidP="00771904">
      <w:pPr>
        <w:pStyle w:val="StyleLeft025"/>
        <w:ind w:left="0"/>
        <w:rPr>
          <w:rFonts w:cs="Arial"/>
          <w:sz w:val="24"/>
          <w:szCs w:val="24"/>
        </w:rPr>
      </w:pPr>
      <w:r w:rsidRPr="00771904">
        <w:rPr>
          <w:rFonts w:cs="Arial"/>
          <w:sz w:val="24"/>
          <w:szCs w:val="24"/>
        </w:rPr>
        <w:t>Connecticut did not make any changes to its Part C State Performance Plan through the clarification process</w:t>
      </w:r>
      <w:r w:rsidR="00F01E98">
        <w:rPr>
          <w:rFonts w:cs="Arial"/>
          <w:sz w:val="24"/>
          <w:szCs w:val="24"/>
        </w:rPr>
        <w:t xml:space="preserve"> and it can still be found </w:t>
      </w:r>
      <w:r w:rsidR="00F01E98" w:rsidRPr="00771904">
        <w:rPr>
          <w:rFonts w:cs="Arial"/>
          <w:sz w:val="24"/>
          <w:szCs w:val="24"/>
        </w:rPr>
        <w:t xml:space="preserve">on Birth23.org on the </w:t>
      </w:r>
      <w:hyperlink r:id="rId9" w:history="1">
        <w:r w:rsidR="00F01E98" w:rsidRPr="00F01E98">
          <w:rPr>
            <w:rStyle w:val="Hyperlink"/>
            <w:rFonts w:cs="Arial"/>
            <w:sz w:val="24"/>
            <w:szCs w:val="24"/>
          </w:rPr>
          <w:t>State Performance Plan</w:t>
        </w:r>
      </w:hyperlink>
      <w:r w:rsidR="00F01E98">
        <w:rPr>
          <w:rFonts w:cs="Arial"/>
          <w:sz w:val="24"/>
          <w:szCs w:val="24"/>
        </w:rPr>
        <w:t xml:space="preserve"> </w:t>
      </w:r>
      <w:r w:rsidR="00F01E98" w:rsidRPr="00771904">
        <w:rPr>
          <w:rFonts w:cs="Arial"/>
          <w:sz w:val="24"/>
          <w:szCs w:val="24"/>
        </w:rPr>
        <w:t xml:space="preserve">page </w:t>
      </w:r>
      <w:r w:rsidR="00F01E98">
        <w:rPr>
          <w:rFonts w:cs="Arial"/>
          <w:sz w:val="24"/>
          <w:szCs w:val="24"/>
        </w:rPr>
        <w:t xml:space="preserve">which is </w:t>
      </w:r>
      <w:r w:rsidR="00F01E98" w:rsidRPr="00771904">
        <w:rPr>
          <w:rFonts w:cs="Arial"/>
          <w:sz w:val="24"/>
          <w:szCs w:val="24"/>
        </w:rPr>
        <w:t xml:space="preserve">under </w:t>
      </w:r>
      <w:r w:rsidR="00F01E98">
        <w:rPr>
          <w:rFonts w:cs="Arial"/>
          <w:sz w:val="24"/>
          <w:szCs w:val="24"/>
        </w:rPr>
        <w:t xml:space="preserve">the </w:t>
      </w:r>
      <w:r w:rsidR="00F01E98" w:rsidRPr="00771904">
        <w:rPr>
          <w:rFonts w:cs="Arial"/>
          <w:sz w:val="24"/>
          <w:szCs w:val="24"/>
        </w:rPr>
        <w:t>How Are We Doing?</w:t>
      </w:r>
      <w:r w:rsidR="00F01E98">
        <w:rPr>
          <w:rFonts w:cs="Arial"/>
          <w:sz w:val="24"/>
          <w:szCs w:val="24"/>
        </w:rPr>
        <w:t xml:space="preserve"> </w:t>
      </w:r>
      <w:proofErr w:type="gramStart"/>
      <w:r w:rsidR="00F01E98">
        <w:rPr>
          <w:rFonts w:cs="Arial"/>
          <w:sz w:val="24"/>
          <w:szCs w:val="24"/>
        </w:rPr>
        <w:t>menu</w:t>
      </w:r>
      <w:proofErr w:type="gramEnd"/>
      <w:r w:rsidR="00F01E98">
        <w:rPr>
          <w:rFonts w:cs="Arial"/>
          <w:sz w:val="24"/>
          <w:szCs w:val="24"/>
        </w:rPr>
        <w:t xml:space="preserve"> on the left</w:t>
      </w:r>
      <w:r w:rsidR="00F01E98" w:rsidRPr="00F01E98">
        <w:rPr>
          <w:rFonts w:cs="Arial"/>
          <w:sz w:val="24"/>
          <w:szCs w:val="24"/>
        </w:rPr>
        <w:t xml:space="preserve"> </w:t>
      </w:r>
      <w:r w:rsidR="00F01E98">
        <w:rPr>
          <w:rFonts w:cs="Arial"/>
          <w:sz w:val="24"/>
          <w:szCs w:val="24"/>
        </w:rPr>
        <w:t>of the screen.</w:t>
      </w:r>
    </w:p>
    <w:p w:rsidR="00771904" w:rsidRPr="00771904" w:rsidRDefault="00771904" w:rsidP="00771904">
      <w:pPr>
        <w:pStyle w:val="StyleLeft025"/>
        <w:ind w:left="0"/>
        <w:rPr>
          <w:rFonts w:cs="Arial"/>
          <w:sz w:val="24"/>
          <w:szCs w:val="24"/>
        </w:rPr>
      </w:pPr>
    </w:p>
    <w:p w:rsidR="00771904" w:rsidRPr="00771904" w:rsidRDefault="00771904" w:rsidP="00771904">
      <w:pPr>
        <w:pStyle w:val="StyleLeft025"/>
        <w:ind w:left="0"/>
        <w:rPr>
          <w:rFonts w:cs="Arial"/>
          <w:sz w:val="24"/>
          <w:szCs w:val="24"/>
        </w:rPr>
      </w:pPr>
      <w:r w:rsidRPr="00771904">
        <w:rPr>
          <w:rFonts w:cs="Arial"/>
          <w:sz w:val="24"/>
          <w:szCs w:val="24"/>
        </w:rPr>
        <w:t>Thank you for the opportunity to help clarify this APR.</w:t>
      </w:r>
    </w:p>
    <w:p w:rsidR="00771904" w:rsidRPr="00771904" w:rsidRDefault="00771904">
      <w:pPr>
        <w:rPr>
          <w:rFonts w:cs="Arial"/>
          <w:b/>
          <w:noProof/>
          <w:sz w:val="24"/>
        </w:rPr>
      </w:pPr>
    </w:p>
    <w:p w:rsidR="00771904" w:rsidRPr="00771904" w:rsidRDefault="00771904">
      <w:pPr>
        <w:rPr>
          <w:rFonts w:cs="Arial"/>
          <w:b/>
          <w:noProof/>
          <w:sz w:val="24"/>
        </w:rPr>
      </w:pPr>
    </w:p>
    <w:p w:rsidR="00771904" w:rsidRPr="00771904" w:rsidRDefault="00771904">
      <w:pPr>
        <w:rPr>
          <w:rFonts w:cs="Arial"/>
          <w:b/>
          <w:noProof/>
        </w:rPr>
      </w:pPr>
    </w:p>
    <w:p w:rsidR="00771904" w:rsidRPr="00771904" w:rsidRDefault="00771904">
      <w:pPr>
        <w:rPr>
          <w:rFonts w:cs="Arial"/>
          <w:b/>
          <w:noProof/>
        </w:rPr>
        <w:sectPr w:rsidR="00771904" w:rsidRPr="00771904" w:rsidSect="003845B9">
          <w:pgSz w:w="12240" w:h="15840"/>
          <w:pgMar w:top="720" w:right="720" w:bottom="720" w:left="720" w:header="720" w:footer="720" w:gutter="0"/>
          <w:cols w:space="720"/>
          <w:docGrid w:linePitch="360"/>
        </w:sectPr>
      </w:pPr>
    </w:p>
    <w:p w:rsidR="00771904" w:rsidRPr="00771904" w:rsidRDefault="00771904">
      <w:pPr>
        <w:rPr>
          <w:rFonts w:cs="Arial"/>
          <w:b/>
          <w:noProof/>
        </w:rPr>
      </w:pPr>
    </w:p>
    <w:p w:rsidR="003845B9" w:rsidRPr="00771904" w:rsidRDefault="003845B9" w:rsidP="0034525E">
      <w:pPr>
        <w:spacing w:after="120"/>
        <w:jc w:val="center"/>
        <w:rPr>
          <w:rFonts w:cs="Arial"/>
          <w:b/>
          <w:noProof/>
        </w:rPr>
      </w:pPr>
      <w:r w:rsidRPr="00771904">
        <w:rPr>
          <w:rFonts w:cs="Arial"/>
          <w:b/>
          <w:noProof/>
        </w:rPr>
        <w:drawing>
          <wp:inline distT="0" distB="0" distL="0" distR="0" wp14:anchorId="67762899" wp14:editId="3B006DB1">
            <wp:extent cx="5861304" cy="83530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3aprsig2013.jpg"/>
                    <pic:cNvPicPr/>
                  </pic:nvPicPr>
                  <pic:blipFill>
                    <a:blip r:embed="rId10">
                      <a:extLst>
                        <a:ext uri="{28A0092B-C50C-407E-A947-70E740481C1C}">
                          <a14:useLocalDpi xmlns:a14="http://schemas.microsoft.com/office/drawing/2010/main" val="0"/>
                        </a:ext>
                      </a:extLst>
                    </a:blip>
                    <a:stretch>
                      <a:fillRect/>
                    </a:stretch>
                  </pic:blipFill>
                  <pic:spPr>
                    <a:xfrm>
                      <a:off x="0" y="0"/>
                      <a:ext cx="5861304" cy="8353044"/>
                    </a:xfrm>
                    <a:prstGeom prst="rect">
                      <a:avLst/>
                    </a:prstGeom>
                  </pic:spPr>
                </pic:pic>
              </a:graphicData>
            </a:graphic>
          </wp:inline>
        </w:drawing>
      </w:r>
    </w:p>
    <w:p w:rsidR="004E51A2" w:rsidRPr="00771904" w:rsidRDefault="004E51A2" w:rsidP="0034525E">
      <w:pPr>
        <w:spacing w:after="120"/>
        <w:jc w:val="center"/>
        <w:rPr>
          <w:rFonts w:cs="Arial"/>
          <w:b/>
        </w:rPr>
        <w:sectPr w:rsidR="004E51A2" w:rsidRPr="00771904" w:rsidSect="003845B9">
          <w:headerReference w:type="default" r:id="rId11"/>
          <w:footerReference w:type="default" r:id="rId12"/>
          <w:pgSz w:w="12240" w:h="15840"/>
          <w:pgMar w:top="720" w:right="720" w:bottom="720" w:left="720" w:header="720" w:footer="720" w:gutter="0"/>
          <w:cols w:space="720"/>
          <w:docGrid w:linePitch="360"/>
        </w:sectPr>
      </w:pPr>
    </w:p>
    <w:p w:rsidR="006E74E4" w:rsidRPr="00771904" w:rsidRDefault="006E74E4" w:rsidP="0034525E">
      <w:pPr>
        <w:spacing w:after="120"/>
        <w:jc w:val="center"/>
        <w:rPr>
          <w:rFonts w:cs="Arial"/>
          <w:i/>
          <w:sz w:val="16"/>
          <w:szCs w:val="16"/>
        </w:rPr>
      </w:pPr>
      <w:r w:rsidRPr="00771904">
        <w:rPr>
          <w:rFonts w:cs="Arial"/>
          <w:b/>
        </w:rPr>
        <w:lastRenderedPageBreak/>
        <w:t xml:space="preserve">Part C State Annual Performance Report (APR) for Federal </w:t>
      </w:r>
      <w:r w:rsidR="00BA69E5" w:rsidRPr="00771904">
        <w:rPr>
          <w:rFonts w:cs="Arial"/>
          <w:b/>
        </w:rPr>
        <w:t>Fiscal Year (FFY) 20</w:t>
      </w:r>
      <w:r w:rsidR="00C71124" w:rsidRPr="00771904">
        <w:rPr>
          <w:rFonts w:cs="Arial"/>
          <w:b/>
        </w:rPr>
        <w:t>1</w:t>
      </w:r>
      <w:r w:rsidR="00C02A8F" w:rsidRPr="00771904">
        <w:rPr>
          <w:rFonts w:cs="Arial"/>
          <w:b/>
        </w:rPr>
        <w:t>2</w:t>
      </w:r>
    </w:p>
    <w:p w:rsidR="006E74E4" w:rsidRPr="00771904" w:rsidRDefault="00876BEC">
      <w:pPr>
        <w:pStyle w:val="Header"/>
        <w:tabs>
          <w:tab w:val="clear" w:pos="4320"/>
          <w:tab w:val="clear" w:pos="8640"/>
          <w:tab w:val="right" w:pos="8280"/>
        </w:tabs>
        <w:spacing w:after="120"/>
        <w:rPr>
          <w:rFonts w:cs="Arial"/>
        </w:rPr>
      </w:pPr>
      <w:r w:rsidRPr="00771904">
        <w:rPr>
          <w:rFonts w:cs="Arial"/>
        </w:rPr>
        <w:t xml:space="preserve">Throughout </w:t>
      </w:r>
      <w:r w:rsidR="002A2674" w:rsidRPr="00771904">
        <w:rPr>
          <w:rFonts w:cs="Arial"/>
        </w:rPr>
        <w:t xml:space="preserve">this </w:t>
      </w:r>
      <w:r w:rsidRPr="00771904">
        <w:rPr>
          <w:rFonts w:cs="Arial"/>
        </w:rPr>
        <w:t xml:space="preserve">document </w:t>
      </w:r>
      <w:r w:rsidR="002A2674" w:rsidRPr="00771904">
        <w:rPr>
          <w:rFonts w:cs="Arial"/>
        </w:rPr>
        <w:t>years</w:t>
      </w:r>
      <w:r w:rsidRPr="00771904">
        <w:rPr>
          <w:rFonts w:cs="Arial"/>
        </w:rPr>
        <w:t xml:space="preserve"> are </w:t>
      </w:r>
      <w:r w:rsidR="00BA3ED8" w:rsidRPr="00771904">
        <w:rPr>
          <w:rFonts w:cs="Arial"/>
        </w:rPr>
        <w:t xml:space="preserve">represented </w:t>
      </w:r>
      <w:r w:rsidR="00ED0A8D" w:rsidRPr="00771904">
        <w:rPr>
          <w:rFonts w:cs="Arial"/>
        </w:rPr>
        <w:t xml:space="preserve">as </w:t>
      </w:r>
      <w:r w:rsidR="001F2FCB" w:rsidRPr="00771904">
        <w:rPr>
          <w:rFonts w:cs="Arial"/>
        </w:rPr>
        <w:t>‘</w:t>
      </w:r>
      <w:r w:rsidR="00C02A8F" w:rsidRPr="00771904">
        <w:rPr>
          <w:rFonts w:cs="Arial"/>
        </w:rPr>
        <w:t>12</w:t>
      </w:r>
      <w:r w:rsidR="001F2FCB" w:rsidRPr="00771904">
        <w:rPr>
          <w:rFonts w:cs="Arial"/>
        </w:rPr>
        <w:t>-’1</w:t>
      </w:r>
      <w:r w:rsidR="00C02A8F" w:rsidRPr="00771904">
        <w:rPr>
          <w:rFonts w:cs="Arial"/>
        </w:rPr>
        <w:t>3</w:t>
      </w:r>
      <w:r w:rsidR="00C71124" w:rsidRPr="00771904">
        <w:rPr>
          <w:rFonts w:cs="Arial"/>
        </w:rPr>
        <w:t xml:space="preserve"> </w:t>
      </w:r>
      <w:r w:rsidR="00ED0A8D" w:rsidRPr="00771904">
        <w:rPr>
          <w:rFonts w:cs="Arial"/>
        </w:rPr>
        <w:t>represent</w:t>
      </w:r>
      <w:r w:rsidR="003539C1" w:rsidRPr="00771904">
        <w:rPr>
          <w:rFonts w:cs="Arial"/>
        </w:rPr>
        <w:t>ing</w:t>
      </w:r>
      <w:r w:rsidR="00ED0A8D" w:rsidRPr="00771904">
        <w:rPr>
          <w:rFonts w:cs="Arial"/>
        </w:rPr>
        <w:t xml:space="preserve"> the </w:t>
      </w:r>
      <w:r w:rsidR="00BA3ED8" w:rsidRPr="00771904">
        <w:rPr>
          <w:rFonts w:cs="Arial"/>
        </w:rPr>
        <w:t xml:space="preserve">calendar </w:t>
      </w:r>
      <w:r w:rsidR="00ED0A8D" w:rsidRPr="00771904">
        <w:rPr>
          <w:rFonts w:cs="Arial"/>
        </w:rPr>
        <w:t>year of</w:t>
      </w:r>
      <w:r w:rsidR="002A2674" w:rsidRPr="00771904">
        <w:rPr>
          <w:rFonts w:cs="Arial"/>
        </w:rPr>
        <w:t xml:space="preserve"> July 1 of the first year </w:t>
      </w:r>
      <w:r w:rsidR="00ED0A8D" w:rsidRPr="00771904">
        <w:rPr>
          <w:rFonts w:cs="Arial"/>
        </w:rPr>
        <w:t>(</w:t>
      </w:r>
      <w:r w:rsidR="003539C1" w:rsidRPr="00771904">
        <w:rPr>
          <w:rFonts w:cs="Arial"/>
        </w:rPr>
        <w:t>‘</w:t>
      </w:r>
      <w:r w:rsidR="001F2FCB" w:rsidRPr="00771904">
        <w:rPr>
          <w:rFonts w:cs="Arial"/>
        </w:rPr>
        <w:t>1</w:t>
      </w:r>
      <w:r w:rsidR="00C02A8F" w:rsidRPr="00771904">
        <w:rPr>
          <w:rFonts w:cs="Arial"/>
        </w:rPr>
        <w:t>2</w:t>
      </w:r>
      <w:r w:rsidR="00ED0A8D" w:rsidRPr="00771904">
        <w:rPr>
          <w:rFonts w:cs="Arial"/>
        </w:rPr>
        <w:t xml:space="preserve">) </w:t>
      </w:r>
      <w:r w:rsidR="002A2674" w:rsidRPr="00771904">
        <w:rPr>
          <w:rFonts w:cs="Arial"/>
        </w:rPr>
        <w:t>to June 30 of the last year</w:t>
      </w:r>
      <w:r w:rsidR="00ED0A8D" w:rsidRPr="00771904">
        <w:rPr>
          <w:rFonts w:cs="Arial"/>
        </w:rPr>
        <w:t xml:space="preserve"> (</w:t>
      </w:r>
      <w:r w:rsidR="003539C1" w:rsidRPr="00771904">
        <w:rPr>
          <w:rFonts w:cs="Arial"/>
        </w:rPr>
        <w:t>‘</w:t>
      </w:r>
      <w:r w:rsidR="001F2FCB" w:rsidRPr="00771904">
        <w:rPr>
          <w:rFonts w:cs="Arial"/>
        </w:rPr>
        <w:t>1</w:t>
      </w:r>
      <w:r w:rsidR="00C02A8F" w:rsidRPr="00771904">
        <w:rPr>
          <w:rFonts w:cs="Arial"/>
        </w:rPr>
        <w:t>3</w:t>
      </w:r>
      <w:r w:rsidR="00BA3ED8" w:rsidRPr="00771904">
        <w:rPr>
          <w:rFonts w:cs="Arial"/>
        </w:rPr>
        <w:t>)</w:t>
      </w:r>
      <w:r w:rsidR="002A2674" w:rsidRPr="00771904">
        <w:rPr>
          <w:rFonts w:cs="Arial"/>
        </w:rPr>
        <w:t xml:space="preserve"> </w:t>
      </w:r>
      <w:r w:rsidR="00BA3ED8" w:rsidRPr="00771904">
        <w:rPr>
          <w:rFonts w:cs="Arial"/>
        </w:rPr>
        <w:t xml:space="preserve">regardless of </w:t>
      </w:r>
      <w:r w:rsidR="00ED0A8D" w:rsidRPr="00771904">
        <w:rPr>
          <w:rFonts w:cs="Arial"/>
        </w:rPr>
        <w:t xml:space="preserve">the federal </w:t>
      </w:r>
      <w:r w:rsidR="00BA3ED8" w:rsidRPr="00771904">
        <w:rPr>
          <w:rFonts w:cs="Arial"/>
        </w:rPr>
        <w:t>fiscal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008"/>
        <w:gridCol w:w="738"/>
      </w:tblGrid>
      <w:tr w:rsidR="006E74E4" w:rsidRPr="00771904">
        <w:trPr>
          <w:cantSplit/>
          <w:trHeight w:val="360"/>
        </w:trPr>
        <w:tc>
          <w:tcPr>
            <w:tcW w:w="0" w:type="auto"/>
            <w:vAlign w:val="center"/>
          </w:tcPr>
          <w:p w:rsidR="006E74E4" w:rsidRPr="00771904" w:rsidRDefault="006E74E4">
            <w:pPr>
              <w:rPr>
                <w:rFonts w:cs="Arial"/>
              </w:rPr>
            </w:pPr>
            <w:r w:rsidRPr="00771904">
              <w:rPr>
                <w:rFonts w:cs="Arial"/>
              </w:rPr>
              <w:t>1</w:t>
            </w:r>
          </w:p>
        </w:tc>
        <w:tc>
          <w:tcPr>
            <w:tcW w:w="8008" w:type="dxa"/>
            <w:vAlign w:val="center"/>
          </w:tcPr>
          <w:p w:rsidR="006E74E4" w:rsidRPr="00771904" w:rsidRDefault="00E63213">
            <w:pPr>
              <w:rPr>
                <w:rFonts w:cs="Arial"/>
              </w:rPr>
            </w:pPr>
            <w:hyperlink w:anchor="ind1" w:history="1">
              <w:r w:rsidR="006E74E4" w:rsidRPr="00771904">
                <w:rPr>
                  <w:rStyle w:val="Hyperlink"/>
                  <w:rFonts w:cs="Arial"/>
                </w:rPr>
                <w:t>Infants and toddlers receive the early intervention services on their IFSPs in a timely manner.</w:t>
              </w:r>
            </w:hyperlink>
          </w:p>
        </w:tc>
        <w:tc>
          <w:tcPr>
            <w:tcW w:w="738" w:type="dxa"/>
            <w:vAlign w:val="center"/>
          </w:tcPr>
          <w:p w:rsidR="006E74E4" w:rsidRPr="00771904" w:rsidRDefault="0090656B">
            <w:pPr>
              <w:rPr>
                <w:rFonts w:cs="Arial"/>
                <w:highlight w:val="cyan"/>
              </w:rPr>
            </w:pPr>
            <w:r w:rsidRPr="00771904">
              <w:rPr>
                <w:rFonts w:cs="Arial"/>
              </w:rPr>
              <w:t xml:space="preserve">p. </w:t>
            </w:r>
            <w:r w:rsidR="00D1729B" w:rsidRPr="00771904">
              <w:rPr>
                <w:rFonts w:cs="Arial"/>
              </w:rPr>
              <w:t>2</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2</w:t>
            </w:r>
          </w:p>
        </w:tc>
        <w:tc>
          <w:tcPr>
            <w:tcW w:w="8008" w:type="dxa"/>
            <w:vAlign w:val="center"/>
          </w:tcPr>
          <w:p w:rsidR="006E74E4" w:rsidRPr="00771904" w:rsidRDefault="00E63213">
            <w:pPr>
              <w:rPr>
                <w:rFonts w:cs="Arial"/>
              </w:rPr>
            </w:pPr>
            <w:hyperlink w:anchor="ind2" w:history="1">
              <w:r w:rsidR="006E74E4" w:rsidRPr="00771904">
                <w:rPr>
                  <w:rStyle w:val="Hyperlink"/>
                  <w:rFonts w:cs="Arial"/>
                </w:rPr>
                <w:t xml:space="preserve">Infants and toddlers primarily receive early intervention services in the home or </w:t>
              </w:r>
              <w:r w:rsidR="00D146E5" w:rsidRPr="00771904">
                <w:rPr>
                  <w:rStyle w:val="Hyperlink"/>
                  <w:rFonts w:cs="Arial"/>
                </w:rPr>
                <w:t xml:space="preserve">in </w:t>
              </w:r>
              <w:r w:rsidR="006E74E4" w:rsidRPr="00771904">
                <w:rPr>
                  <w:rStyle w:val="Hyperlink"/>
                  <w:rFonts w:cs="Arial"/>
                </w:rPr>
                <w:t>programs for typically developing children.</w:t>
              </w:r>
            </w:hyperlink>
          </w:p>
        </w:tc>
        <w:tc>
          <w:tcPr>
            <w:tcW w:w="738" w:type="dxa"/>
            <w:vAlign w:val="center"/>
          </w:tcPr>
          <w:p w:rsidR="006E74E4" w:rsidRPr="00771904" w:rsidRDefault="0090656B" w:rsidP="00902175">
            <w:pPr>
              <w:rPr>
                <w:rFonts w:cs="Arial"/>
              </w:rPr>
            </w:pPr>
            <w:r w:rsidRPr="00771904">
              <w:rPr>
                <w:rFonts w:cs="Arial"/>
              </w:rPr>
              <w:t xml:space="preserve">p. </w:t>
            </w:r>
            <w:r w:rsidR="00D1729B" w:rsidRPr="00771904">
              <w:rPr>
                <w:rFonts w:cs="Arial"/>
              </w:rPr>
              <w:t>5</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3a</w:t>
            </w:r>
          </w:p>
        </w:tc>
        <w:tc>
          <w:tcPr>
            <w:tcW w:w="8008" w:type="dxa"/>
            <w:vAlign w:val="center"/>
          </w:tcPr>
          <w:p w:rsidR="006E74E4" w:rsidRPr="00771904" w:rsidRDefault="00E63213">
            <w:pPr>
              <w:rPr>
                <w:rFonts w:cs="Arial"/>
              </w:rPr>
            </w:pPr>
            <w:hyperlink w:anchor="ind3" w:history="1">
              <w:r w:rsidR="006E74E4" w:rsidRPr="00771904">
                <w:rPr>
                  <w:rStyle w:val="Hyperlink"/>
                  <w:rFonts w:cs="Arial"/>
                </w:rPr>
                <w:t>Infants and toddlers demonstrate improved: Positive social-emotional skills (including social relationships)</w:t>
              </w:r>
            </w:hyperlink>
            <w:r w:rsidR="002D029E" w:rsidRPr="00771904">
              <w:rPr>
                <w:rFonts w:cs="Arial"/>
              </w:rPr>
              <w:t>.</w:t>
            </w:r>
          </w:p>
        </w:tc>
        <w:tc>
          <w:tcPr>
            <w:tcW w:w="738" w:type="dxa"/>
            <w:vMerge w:val="restart"/>
            <w:vAlign w:val="center"/>
          </w:tcPr>
          <w:p w:rsidR="006E74E4" w:rsidRPr="00771904" w:rsidRDefault="006E74E4" w:rsidP="00E06E0E">
            <w:pPr>
              <w:rPr>
                <w:rFonts w:cs="Arial"/>
              </w:rPr>
            </w:pPr>
            <w:r w:rsidRPr="00771904">
              <w:rPr>
                <w:rFonts w:cs="Arial"/>
              </w:rPr>
              <w:t xml:space="preserve">p. </w:t>
            </w:r>
            <w:r w:rsidR="00D1729B" w:rsidRPr="00771904">
              <w:rPr>
                <w:rFonts w:cs="Arial"/>
              </w:rPr>
              <w:t>6</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3b</w:t>
            </w:r>
          </w:p>
        </w:tc>
        <w:tc>
          <w:tcPr>
            <w:tcW w:w="8008" w:type="dxa"/>
            <w:vAlign w:val="center"/>
          </w:tcPr>
          <w:p w:rsidR="006E74E4" w:rsidRPr="00771904" w:rsidRDefault="00E63213">
            <w:pPr>
              <w:rPr>
                <w:rFonts w:cs="Arial"/>
              </w:rPr>
            </w:pPr>
            <w:hyperlink w:anchor="ind3" w:history="1">
              <w:r w:rsidR="006E74E4" w:rsidRPr="00771904">
                <w:rPr>
                  <w:rStyle w:val="Hyperlink"/>
                  <w:rFonts w:cs="Arial"/>
                </w:rPr>
                <w:t>Infants and toddlers demonstrate improved: Acquisition and use of knowledge and skills (including early language/ communication)</w:t>
              </w:r>
            </w:hyperlink>
            <w:r w:rsidR="002D029E" w:rsidRPr="00771904">
              <w:rPr>
                <w:rFonts w:cs="Arial"/>
              </w:rPr>
              <w:t>.</w:t>
            </w:r>
          </w:p>
        </w:tc>
        <w:tc>
          <w:tcPr>
            <w:tcW w:w="738" w:type="dxa"/>
            <w:vMerge/>
            <w:vAlign w:val="center"/>
          </w:tcPr>
          <w:p w:rsidR="006E74E4" w:rsidRPr="00771904" w:rsidRDefault="006E74E4">
            <w:pPr>
              <w:rPr>
                <w:rFonts w:cs="Arial"/>
              </w:rPr>
            </w:pP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3c</w:t>
            </w:r>
          </w:p>
        </w:tc>
        <w:tc>
          <w:tcPr>
            <w:tcW w:w="8008" w:type="dxa"/>
            <w:vAlign w:val="center"/>
          </w:tcPr>
          <w:p w:rsidR="006E74E4" w:rsidRPr="00771904" w:rsidRDefault="00E63213">
            <w:pPr>
              <w:rPr>
                <w:rFonts w:cs="Arial"/>
              </w:rPr>
            </w:pPr>
            <w:hyperlink w:anchor="ind3" w:history="1">
              <w:r w:rsidR="006E74E4" w:rsidRPr="00771904">
                <w:rPr>
                  <w:rStyle w:val="Hyperlink"/>
                  <w:rFonts w:cs="Arial"/>
                </w:rPr>
                <w:t>Infants and toddlers demonstrate improved: Use of appropriate behaviors to meet their needs.</w:t>
              </w:r>
            </w:hyperlink>
          </w:p>
        </w:tc>
        <w:tc>
          <w:tcPr>
            <w:tcW w:w="738" w:type="dxa"/>
            <w:vMerge/>
            <w:vAlign w:val="center"/>
          </w:tcPr>
          <w:p w:rsidR="006E74E4" w:rsidRPr="00771904" w:rsidRDefault="006E74E4">
            <w:pPr>
              <w:rPr>
                <w:rFonts w:cs="Arial"/>
              </w:rPr>
            </w:pP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4a</w:t>
            </w:r>
          </w:p>
        </w:tc>
        <w:tc>
          <w:tcPr>
            <w:tcW w:w="8008" w:type="dxa"/>
            <w:vAlign w:val="center"/>
          </w:tcPr>
          <w:p w:rsidR="006E74E4" w:rsidRPr="00771904" w:rsidRDefault="00E63213">
            <w:pPr>
              <w:rPr>
                <w:rFonts w:cs="Arial"/>
              </w:rPr>
            </w:pPr>
            <w:hyperlink w:anchor="ind4" w:history="1">
              <w:r w:rsidR="006E74E4" w:rsidRPr="00771904">
                <w:rPr>
                  <w:rStyle w:val="Hyperlink"/>
                  <w:rFonts w:cs="Arial"/>
                </w:rPr>
                <w:t>Families participating in Part C report that early intervention services have helped the family know their rights</w:t>
              </w:r>
            </w:hyperlink>
            <w:r w:rsidR="00E92A74" w:rsidRPr="00771904">
              <w:rPr>
                <w:rFonts w:cs="Arial"/>
              </w:rPr>
              <w:t>.</w:t>
            </w:r>
          </w:p>
        </w:tc>
        <w:tc>
          <w:tcPr>
            <w:tcW w:w="738" w:type="dxa"/>
            <w:vMerge w:val="restart"/>
            <w:vAlign w:val="center"/>
          </w:tcPr>
          <w:p w:rsidR="006E74E4" w:rsidRPr="00771904" w:rsidRDefault="009972E7" w:rsidP="009C7F2B">
            <w:pPr>
              <w:rPr>
                <w:rFonts w:cs="Arial"/>
              </w:rPr>
            </w:pPr>
            <w:r w:rsidRPr="00771904">
              <w:rPr>
                <w:rFonts w:cs="Arial"/>
              </w:rPr>
              <w:t xml:space="preserve">p. </w:t>
            </w:r>
            <w:r w:rsidR="00D1729B" w:rsidRPr="00771904">
              <w:rPr>
                <w:rFonts w:cs="Arial"/>
              </w:rPr>
              <w:t>9</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4b</w:t>
            </w:r>
          </w:p>
        </w:tc>
        <w:tc>
          <w:tcPr>
            <w:tcW w:w="8008" w:type="dxa"/>
            <w:vAlign w:val="center"/>
          </w:tcPr>
          <w:p w:rsidR="006E74E4" w:rsidRPr="00771904" w:rsidRDefault="00E63213">
            <w:pPr>
              <w:rPr>
                <w:rFonts w:cs="Arial"/>
              </w:rPr>
            </w:pPr>
            <w:hyperlink w:anchor="ind4" w:history="1">
              <w:r w:rsidR="006E74E4" w:rsidRPr="00771904">
                <w:rPr>
                  <w:rStyle w:val="Hyperlink"/>
                  <w:rFonts w:cs="Arial"/>
                </w:rPr>
                <w:t>Families participating in Part C report that early intervention services have helped the family effectively communicate their children's needs</w:t>
              </w:r>
            </w:hyperlink>
            <w:r w:rsidR="002D029E" w:rsidRPr="00771904">
              <w:rPr>
                <w:rFonts w:cs="Arial"/>
              </w:rPr>
              <w:t>.</w:t>
            </w:r>
          </w:p>
        </w:tc>
        <w:tc>
          <w:tcPr>
            <w:tcW w:w="738" w:type="dxa"/>
            <w:vMerge/>
            <w:vAlign w:val="center"/>
          </w:tcPr>
          <w:p w:rsidR="006E74E4" w:rsidRPr="00771904" w:rsidRDefault="006E74E4">
            <w:pPr>
              <w:rPr>
                <w:rFonts w:cs="Arial"/>
                <w:highlight w:val="cyan"/>
              </w:rPr>
            </w:pP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4c</w:t>
            </w:r>
          </w:p>
        </w:tc>
        <w:tc>
          <w:tcPr>
            <w:tcW w:w="8008" w:type="dxa"/>
            <w:vAlign w:val="center"/>
          </w:tcPr>
          <w:p w:rsidR="006E74E4" w:rsidRPr="00771904" w:rsidRDefault="00E63213">
            <w:pPr>
              <w:rPr>
                <w:rFonts w:cs="Arial"/>
              </w:rPr>
            </w:pPr>
            <w:hyperlink w:anchor="ind4" w:history="1">
              <w:r w:rsidR="006E74E4" w:rsidRPr="00771904">
                <w:rPr>
                  <w:rStyle w:val="Hyperlink"/>
                  <w:rFonts w:cs="Arial"/>
                </w:rPr>
                <w:t>Families participating in Part C report that early intervention services have helped the family help their children develop and learn</w:t>
              </w:r>
            </w:hyperlink>
            <w:r w:rsidR="002D029E" w:rsidRPr="00771904">
              <w:rPr>
                <w:rFonts w:cs="Arial"/>
              </w:rPr>
              <w:t>.</w:t>
            </w:r>
          </w:p>
        </w:tc>
        <w:tc>
          <w:tcPr>
            <w:tcW w:w="738" w:type="dxa"/>
            <w:vMerge/>
            <w:vAlign w:val="center"/>
          </w:tcPr>
          <w:p w:rsidR="006E74E4" w:rsidRPr="00771904" w:rsidRDefault="006E74E4">
            <w:pPr>
              <w:rPr>
                <w:rFonts w:cs="Arial"/>
                <w:highlight w:val="cyan"/>
              </w:rPr>
            </w:pPr>
          </w:p>
        </w:tc>
      </w:tr>
      <w:tr w:rsidR="006E74E4" w:rsidRPr="00771904" w:rsidTr="002A2674">
        <w:trPr>
          <w:cantSplit/>
          <w:trHeight w:val="188"/>
        </w:trPr>
        <w:tc>
          <w:tcPr>
            <w:tcW w:w="0" w:type="auto"/>
            <w:vAlign w:val="center"/>
          </w:tcPr>
          <w:p w:rsidR="006E74E4" w:rsidRPr="00771904" w:rsidRDefault="006E74E4" w:rsidP="001F24FD">
            <w:pPr>
              <w:rPr>
                <w:rFonts w:cs="Arial"/>
              </w:rPr>
            </w:pPr>
            <w:r w:rsidRPr="00771904">
              <w:rPr>
                <w:rFonts w:cs="Arial"/>
              </w:rPr>
              <w:t>5</w:t>
            </w:r>
          </w:p>
        </w:tc>
        <w:tc>
          <w:tcPr>
            <w:tcW w:w="8008" w:type="dxa"/>
            <w:vAlign w:val="center"/>
          </w:tcPr>
          <w:p w:rsidR="006E74E4" w:rsidRPr="00771904" w:rsidRDefault="00E63213">
            <w:pPr>
              <w:rPr>
                <w:rFonts w:cs="Arial"/>
              </w:rPr>
            </w:pPr>
            <w:hyperlink w:anchor="ind5" w:history="1">
              <w:r w:rsidR="006E74E4" w:rsidRPr="00771904">
                <w:rPr>
                  <w:rStyle w:val="Hyperlink"/>
                  <w:rFonts w:cs="Arial"/>
                </w:rPr>
                <w:t>The percent of infants and toddlers birth to 1</w:t>
              </w:r>
            </w:hyperlink>
            <w:r w:rsidR="006E74E4" w:rsidRPr="00771904">
              <w:rPr>
                <w:rFonts w:cs="Arial"/>
              </w:rPr>
              <w:t>.</w:t>
            </w:r>
          </w:p>
        </w:tc>
        <w:tc>
          <w:tcPr>
            <w:tcW w:w="738" w:type="dxa"/>
            <w:vAlign w:val="center"/>
          </w:tcPr>
          <w:p w:rsidR="006E74E4" w:rsidRPr="00771904" w:rsidRDefault="006E74E4" w:rsidP="009C7F2B">
            <w:pPr>
              <w:rPr>
                <w:rFonts w:cs="Arial"/>
              </w:rPr>
            </w:pPr>
            <w:r w:rsidRPr="00771904">
              <w:rPr>
                <w:rFonts w:cs="Arial"/>
              </w:rPr>
              <w:t xml:space="preserve">p. </w:t>
            </w:r>
            <w:r w:rsidR="00D1729B" w:rsidRPr="00771904">
              <w:rPr>
                <w:rFonts w:cs="Arial"/>
              </w:rPr>
              <w:t>11</w:t>
            </w:r>
          </w:p>
        </w:tc>
      </w:tr>
      <w:tr w:rsidR="006E74E4" w:rsidRPr="00771904" w:rsidTr="002A2674">
        <w:trPr>
          <w:cantSplit/>
          <w:trHeight w:val="260"/>
        </w:trPr>
        <w:tc>
          <w:tcPr>
            <w:tcW w:w="0" w:type="auto"/>
            <w:vAlign w:val="center"/>
          </w:tcPr>
          <w:p w:rsidR="006E74E4" w:rsidRPr="00771904" w:rsidRDefault="006E74E4" w:rsidP="001F24FD">
            <w:pPr>
              <w:rPr>
                <w:rFonts w:cs="Arial"/>
              </w:rPr>
            </w:pPr>
            <w:r w:rsidRPr="00771904">
              <w:rPr>
                <w:rFonts w:cs="Arial"/>
              </w:rPr>
              <w:t>6</w:t>
            </w:r>
          </w:p>
        </w:tc>
        <w:tc>
          <w:tcPr>
            <w:tcW w:w="8008" w:type="dxa"/>
            <w:vAlign w:val="center"/>
          </w:tcPr>
          <w:p w:rsidR="006E74E4" w:rsidRPr="00771904" w:rsidRDefault="00E63213">
            <w:pPr>
              <w:rPr>
                <w:rFonts w:cs="Arial"/>
              </w:rPr>
            </w:pPr>
            <w:hyperlink w:anchor="ind6" w:history="1">
              <w:r w:rsidR="006E74E4" w:rsidRPr="00771904">
                <w:rPr>
                  <w:rStyle w:val="Hyperlink"/>
                  <w:rFonts w:cs="Arial"/>
                </w:rPr>
                <w:t>The percent of infants and toddlers birth to 3</w:t>
              </w:r>
            </w:hyperlink>
            <w:r w:rsidR="006E74E4" w:rsidRPr="00771904">
              <w:rPr>
                <w:rFonts w:cs="Arial"/>
              </w:rPr>
              <w:t>.</w:t>
            </w:r>
          </w:p>
        </w:tc>
        <w:tc>
          <w:tcPr>
            <w:tcW w:w="738" w:type="dxa"/>
            <w:vAlign w:val="center"/>
          </w:tcPr>
          <w:p w:rsidR="006E74E4" w:rsidRPr="00771904" w:rsidRDefault="0090656B" w:rsidP="009C7F2B">
            <w:pPr>
              <w:rPr>
                <w:rFonts w:cs="Arial"/>
              </w:rPr>
            </w:pPr>
            <w:r w:rsidRPr="00771904">
              <w:rPr>
                <w:rFonts w:cs="Arial"/>
              </w:rPr>
              <w:t xml:space="preserve">p. </w:t>
            </w:r>
            <w:r w:rsidR="009C7F2B" w:rsidRPr="00771904">
              <w:rPr>
                <w:rFonts w:cs="Arial"/>
              </w:rPr>
              <w:t>1</w:t>
            </w:r>
            <w:r w:rsidR="00D1729B" w:rsidRPr="00771904">
              <w:rPr>
                <w:rFonts w:cs="Arial"/>
              </w:rPr>
              <w:t>2</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7</w:t>
            </w:r>
          </w:p>
        </w:tc>
        <w:tc>
          <w:tcPr>
            <w:tcW w:w="8008" w:type="dxa"/>
            <w:vAlign w:val="center"/>
          </w:tcPr>
          <w:p w:rsidR="006E74E4" w:rsidRPr="00771904" w:rsidRDefault="00E63213">
            <w:pPr>
              <w:rPr>
                <w:rFonts w:cs="Arial"/>
              </w:rPr>
            </w:pPr>
            <w:hyperlink w:anchor="ind7" w:history="1">
              <w:r w:rsidR="006E74E4" w:rsidRPr="00771904">
                <w:rPr>
                  <w:rStyle w:val="Hyperlink"/>
                  <w:rFonts w:cs="Arial"/>
                </w:rPr>
                <w:t>Families of infants and toddlers referred to Birth to Three have an evaluation / assessment and an initial IFSP meeting within 45 days</w:t>
              </w:r>
            </w:hyperlink>
            <w:r w:rsidR="006E74E4" w:rsidRPr="00771904">
              <w:rPr>
                <w:rFonts w:cs="Arial"/>
              </w:rPr>
              <w:t>.</w:t>
            </w:r>
          </w:p>
        </w:tc>
        <w:tc>
          <w:tcPr>
            <w:tcW w:w="738" w:type="dxa"/>
            <w:vAlign w:val="center"/>
          </w:tcPr>
          <w:p w:rsidR="006E74E4" w:rsidRPr="00771904" w:rsidRDefault="0090656B" w:rsidP="000C0AD4">
            <w:pPr>
              <w:rPr>
                <w:rFonts w:cs="Arial"/>
              </w:rPr>
            </w:pPr>
            <w:r w:rsidRPr="00771904">
              <w:rPr>
                <w:rFonts w:cs="Arial"/>
              </w:rPr>
              <w:t xml:space="preserve">p. </w:t>
            </w:r>
            <w:r w:rsidR="00D1729B" w:rsidRPr="00771904">
              <w:rPr>
                <w:rFonts w:cs="Arial"/>
              </w:rPr>
              <w:t>13</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8a</w:t>
            </w:r>
          </w:p>
        </w:tc>
        <w:tc>
          <w:tcPr>
            <w:tcW w:w="8008" w:type="dxa"/>
            <w:vAlign w:val="center"/>
          </w:tcPr>
          <w:p w:rsidR="006E74E4" w:rsidRPr="00771904" w:rsidRDefault="00E63213">
            <w:pPr>
              <w:rPr>
                <w:rFonts w:cs="Arial"/>
              </w:rPr>
            </w:pPr>
            <w:hyperlink w:anchor="Ind8a" w:history="1">
              <w:r w:rsidR="006E74E4" w:rsidRPr="00771904">
                <w:rPr>
                  <w:rStyle w:val="Hyperlink"/>
                  <w:rFonts w:cs="Arial"/>
                </w:rPr>
                <w:t>All children exiting Part C receive timely transition planning including IFSPs with transition steps and services</w:t>
              </w:r>
            </w:hyperlink>
            <w:r w:rsidR="007852CF" w:rsidRPr="00771904">
              <w:rPr>
                <w:rStyle w:val="Hyperlink"/>
                <w:rFonts w:cs="Arial"/>
              </w:rPr>
              <w:t xml:space="preserve"> at least 90 days before age 3</w:t>
            </w:r>
            <w:r w:rsidR="002D029E" w:rsidRPr="00771904">
              <w:rPr>
                <w:rFonts w:cs="Arial"/>
              </w:rPr>
              <w:t>.</w:t>
            </w:r>
          </w:p>
        </w:tc>
        <w:tc>
          <w:tcPr>
            <w:tcW w:w="738" w:type="dxa"/>
            <w:vAlign w:val="center"/>
          </w:tcPr>
          <w:p w:rsidR="006E74E4" w:rsidRPr="00771904" w:rsidRDefault="00902175" w:rsidP="009C7F2B">
            <w:pPr>
              <w:rPr>
                <w:rFonts w:cs="Arial"/>
              </w:rPr>
            </w:pPr>
            <w:r w:rsidRPr="00771904">
              <w:rPr>
                <w:rFonts w:cs="Arial"/>
              </w:rPr>
              <w:t xml:space="preserve">p. </w:t>
            </w:r>
            <w:r w:rsidR="00D1729B" w:rsidRPr="00771904">
              <w:rPr>
                <w:rFonts w:cs="Arial"/>
              </w:rPr>
              <w:t>15</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8b</w:t>
            </w:r>
          </w:p>
        </w:tc>
        <w:tc>
          <w:tcPr>
            <w:tcW w:w="8008" w:type="dxa"/>
            <w:vAlign w:val="center"/>
          </w:tcPr>
          <w:p w:rsidR="006E74E4" w:rsidRPr="00771904" w:rsidRDefault="00E63213" w:rsidP="007852CF">
            <w:pPr>
              <w:rPr>
                <w:rFonts w:cs="Arial"/>
              </w:rPr>
            </w:pPr>
            <w:hyperlink w:anchor="Ind8b" w:history="1">
              <w:r w:rsidR="006E74E4" w:rsidRPr="00771904">
                <w:rPr>
                  <w:rStyle w:val="Hyperlink"/>
                  <w:rFonts w:cs="Arial"/>
                </w:rPr>
                <w:t>Notification to LEA of all children exiting Part C, if child potentially eligible for Part B</w:t>
              </w:r>
              <w:r w:rsidR="007852CF" w:rsidRPr="00771904">
                <w:rPr>
                  <w:rStyle w:val="Hyperlink"/>
                  <w:rFonts w:cs="Arial"/>
                </w:rPr>
                <w:t xml:space="preserve"> early childhood special education at least 90 days before age 3</w:t>
              </w:r>
            </w:hyperlink>
          </w:p>
        </w:tc>
        <w:tc>
          <w:tcPr>
            <w:tcW w:w="738" w:type="dxa"/>
            <w:vAlign w:val="center"/>
          </w:tcPr>
          <w:p w:rsidR="006E74E4" w:rsidRPr="00771904" w:rsidRDefault="00902175" w:rsidP="009C7F2B">
            <w:pPr>
              <w:rPr>
                <w:rFonts w:cs="Arial"/>
              </w:rPr>
            </w:pPr>
            <w:r w:rsidRPr="00771904">
              <w:rPr>
                <w:rFonts w:cs="Arial"/>
              </w:rPr>
              <w:t>p.</w:t>
            </w:r>
            <w:r w:rsidR="009C7F2B" w:rsidRPr="00771904">
              <w:rPr>
                <w:rFonts w:cs="Arial"/>
              </w:rPr>
              <w:t xml:space="preserve"> </w:t>
            </w:r>
            <w:r w:rsidR="00D1729B" w:rsidRPr="00771904">
              <w:rPr>
                <w:rFonts w:cs="Arial"/>
              </w:rPr>
              <w:t>16</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8c</w:t>
            </w:r>
          </w:p>
        </w:tc>
        <w:tc>
          <w:tcPr>
            <w:tcW w:w="8008" w:type="dxa"/>
            <w:vAlign w:val="center"/>
          </w:tcPr>
          <w:p w:rsidR="006E74E4" w:rsidRPr="00771904" w:rsidRDefault="00E63213">
            <w:pPr>
              <w:rPr>
                <w:rFonts w:cs="Arial"/>
              </w:rPr>
            </w:pPr>
            <w:hyperlink w:anchor="Ind8c" w:history="1">
              <w:r w:rsidR="006E74E4" w:rsidRPr="00771904">
                <w:rPr>
                  <w:rStyle w:val="Hyperlink"/>
                  <w:rFonts w:cs="Arial"/>
                </w:rPr>
                <w:t xml:space="preserve">All children exiting Part C receive timely transition conferences, if child potentially eligible for </w:t>
              </w:r>
              <w:r w:rsidR="007852CF" w:rsidRPr="00771904">
                <w:rPr>
                  <w:rStyle w:val="Hyperlink"/>
                  <w:rFonts w:cs="Arial"/>
                </w:rPr>
                <w:t xml:space="preserve">Part B early childhood special education </w:t>
              </w:r>
            </w:hyperlink>
          </w:p>
        </w:tc>
        <w:tc>
          <w:tcPr>
            <w:tcW w:w="738" w:type="dxa"/>
            <w:vAlign w:val="center"/>
          </w:tcPr>
          <w:p w:rsidR="006E74E4" w:rsidRPr="00771904" w:rsidRDefault="00902175" w:rsidP="009C7F2B">
            <w:pPr>
              <w:rPr>
                <w:rFonts w:cs="Arial"/>
              </w:rPr>
            </w:pPr>
            <w:r w:rsidRPr="00771904">
              <w:rPr>
                <w:rFonts w:cs="Arial"/>
              </w:rPr>
              <w:t>p.</w:t>
            </w:r>
            <w:r w:rsidR="009C7F2B" w:rsidRPr="00771904">
              <w:rPr>
                <w:rFonts w:cs="Arial"/>
              </w:rPr>
              <w:t xml:space="preserve"> </w:t>
            </w:r>
            <w:r w:rsidR="00D1729B" w:rsidRPr="00771904">
              <w:rPr>
                <w:rFonts w:cs="Arial"/>
              </w:rPr>
              <w:t>17</w:t>
            </w:r>
          </w:p>
        </w:tc>
      </w:tr>
      <w:tr w:rsidR="00D1729B" w:rsidRPr="00771904">
        <w:trPr>
          <w:cantSplit/>
          <w:trHeight w:val="360"/>
        </w:trPr>
        <w:tc>
          <w:tcPr>
            <w:tcW w:w="0" w:type="auto"/>
            <w:vAlign w:val="center"/>
          </w:tcPr>
          <w:p w:rsidR="00D1729B" w:rsidRPr="00771904" w:rsidRDefault="00D1729B">
            <w:pPr>
              <w:rPr>
                <w:rFonts w:cs="Arial"/>
              </w:rPr>
            </w:pPr>
            <w:r w:rsidRPr="00771904">
              <w:rPr>
                <w:rFonts w:cs="Arial"/>
              </w:rPr>
              <w:t>9</w:t>
            </w:r>
          </w:p>
        </w:tc>
        <w:tc>
          <w:tcPr>
            <w:tcW w:w="8008" w:type="dxa"/>
            <w:vAlign w:val="center"/>
          </w:tcPr>
          <w:p w:rsidR="00D1729B" w:rsidRPr="00771904" w:rsidRDefault="00E63213">
            <w:pPr>
              <w:rPr>
                <w:rFonts w:cs="Arial"/>
              </w:rPr>
            </w:pPr>
            <w:hyperlink w:anchor="ind9" w:history="1">
              <w:r w:rsidR="00D1729B" w:rsidRPr="00771904">
                <w:rPr>
                  <w:rStyle w:val="Hyperlink"/>
                  <w:rFonts w:cs="Arial"/>
                </w:rPr>
                <w:t>General Supervision System identifies and corrects noncompliance in one year</w:t>
              </w:r>
            </w:hyperlink>
          </w:p>
        </w:tc>
        <w:tc>
          <w:tcPr>
            <w:tcW w:w="738" w:type="dxa"/>
            <w:vAlign w:val="center"/>
          </w:tcPr>
          <w:p w:rsidR="00D1729B" w:rsidRPr="00771904" w:rsidRDefault="00D1729B" w:rsidP="009C7F2B">
            <w:pPr>
              <w:rPr>
                <w:rFonts w:cs="Arial"/>
              </w:rPr>
            </w:pPr>
            <w:r w:rsidRPr="00771904">
              <w:rPr>
                <w:rFonts w:cs="Arial"/>
              </w:rPr>
              <w:t>p. 20</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12</w:t>
            </w:r>
          </w:p>
        </w:tc>
        <w:tc>
          <w:tcPr>
            <w:tcW w:w="8008" w:type="dxa"/>
            <w:vAlign w:val="center"/>
          </w:tcPr>
          <w:p w:rsidR="006E74E4" w:rsidRPr="00771904" w:rsidRDefault="00E63213">
            <w:pPr>
              <w:rPr>
                <w:rFonts w:cs="Arial"/>
              </w:rPr>
            </w:pPr>
            <w:hyperlink w:anchor="ind12" w:history="1">
              <w:r w:rsidR="006E74E4" w:rsidRPr="00771904">
                <w:rPr>
                  <w:rStyle w:val="Hyperlink"/>
                  <w:rFonts w:cs="Arial"/>
                  <w:szCs w:val="22"/>
                </w:rPr>
                <w:t xml:space="preserve">Percent of hearing requests that went to resolution </w:t>
              </w:r>
              <w:proofErr w:type="gramStart"/>
              <w:r w:rsidR="006E74E4" w:rsidRPr="00771904">
                <w:rPr>
                  <w:rStyle w:val="Hyperlink"/>
                  <w:rFonts w:cs="Arial"/>
                  <w:szCs w:val="22"/>
                </w:rPr>
                <w:t>sessions</w:t>
              </w:r>
              <w:proofErr w:type="gramEnd"/>
              <w:r w:rsidR="006E74E4" w:rsidRPr="00771904">
                <w:rPr>
                  <w:rStyle w:val="Hyperlink"/>
                  <w:rFonts w:cs="Arial"/>
                  <w:szCs w:val="22"/>
                </w:rPr>
                <w:br/>
                <w:t>(Not-applicable for Part C in Connecticut</w:t>
              </w:r>
              <w:r w:rsidR="006E74E4" w:rsidRPr="00771904">
                <w:rPr>
                  <w:rStyle w:val="Hyperlink"/>
                  <w:rFonts w:cs="Arial"/>
                </w:rPr>
                <w:t>)</w:t>
              </w:r>
            </w:hyperlink>
            <w:r w:rsidR="002D029E" w:rsidRPr="00771904">
              <w:rPr>
                <w:rFonts w:cs="Arial"/>
                <w:szCs w:val="22"/>
              </w:rPr>
              <w:t>.</w:t>
            </w:r>
          </w:p>
        </w:tc>
        <w:tc>
          <w:tcPr>
            <w:tcW w:w="738" w:type="dxa"/>
            <w:vAlign w:val="center"/>
          </w:tcPr>
          <w:p w:rsidR="006E74E4" w:rsidRPr="00771904" w:rsidRDefault="00734365" w:rsidP="009C7F2B">
            <w:pPr>
              <w:rPr>
                <w:rFonts w:cs="Arial"/>
              </w:rPr>
            </w:pPr>
            <w:r w:rsidRPr="00771904">
              <w:rPr>
                <w:rFonts w:cs="Arial"/>
              </w:rPr>
              <w:t xml:space="preserve">p. </w:t>
            </w:r>
            <w:r w:rsidR="00D1729B" w:rsidRPr="00771904">
              <w:rPr>
                <w:rFonts w:cs="Arial"/>
              </w:rPr>
              <w:t>2</w:t>
            </w:r>
            <w:r w:rsidR="000C0AD4" w:rsidRPr="00771904">
              <w:rPr>
                <w:rFonts w:cs="Arial"/>
              </w:rPr>
              <w:t>3</w:t>
            </w:r>
          </w:p>
        </w:tc>
      </w:tr>
      <w:tr w:rsidR="006E74E4" w:rsidRPr="00771904">
        <w:trPr>
          <w:cantSplit/>
          <w:trHeight w:val="360"/>
        </w:trPr>
        <w:tc>
          <w:tcPr>
            <w:tcW w:w="0" w:type="auto"/>
            <w:vAlign w:val="center"/>
          </w:tcPr>
          <w:p w:rsidR="006E74E4" w:rsidRPr="00771904" w:rsidRDefault="006E74E4">
            <w:pPr>
              <w:rPr>
                <w:rFonts w:cs="Arial"/>
              </w:rPr>
            </w:pPr>
            <w:r w:rsidRPr="00771904">
              <w:rPr>
                <w:rFonts w:cs="Arial"/>
              </w:rPr>
              <w:t>13</w:t>
            </w:r>
          </w:p>
        </w:tc>
        <w:tc>
          <w:tcPr>
            <w:tcW w:w="8008" w:type="dxa"/>
            <w:vAlign w:val="center"/>
          </w:tcPr>
          <w:p w:rsidR="006E74E4" w:rsidRPr="00771904" w:rsidRDefault="00E63213">
            <w:pPr>
              <w:rPr>
                <w:rFonts w:cs="Arial"/>
              </w:rPr>
            </w:pPr>
            <w:hyperlink w:anchor="ind13" w:history="1">
              <w:r w:rsidR="006E74E4" w:rsidRPr="00771904">
                <w:rPr>
                  <w:rStyle w:val="Hyperlink"/>
                  <w:rFonts w:cs="Arial"/>
                </w:rPr>
                <w:t>Percent of mediations held that resulted in mediation agreements.</w:t>
              </w:r>
            </w:hyperlink>
            <w:r w:rsidR="006E74E4" w:rsidRPr="00771904">
              <w:rPr>
                <w:rFonts w:cs="Arial"/>
              </w:rPr>
              <w:t xml:space="preserve"> </w:t>
            </w:r>
          </w:p>
        </w:tc>
        <w:tc>
          <w:tcPr>
            <w:tcW w:w="738" w:type="dxa"/>
            <w:vAlign w:val="center"/>
          </w:tcPr>
          <w:p w:rsidR="006E74E4" w:rsidRPr="00771904" w:rsidRDefault="00734365" w:rsidP="009C7F2B">
            <w:pPr>
              <w:rPr>
                <w:rFonts w:cs="Arial"/>
              </w:rPr>
            </w:pPr>
            <w:r w:rsidRPr="00771904">
              <w:rPr>
                <w:rFonts w:cs="Arial"/>
              </w:rPr>
              <w:t xml:space="preserve">p. </w:t>
            </w:r>
            <w:r w:rsidR="00D1729B" w:rsidRPr="00771904">
              <w:rPr>
                <w:rFonts w:cs="Arial"/>
              </w:rPr>
              <w:t>2</w:t>
            </w:r>
            <w:r w:rsidR="000C0AD4" w:rsidRPr="00771904">
              <w:rPr>
                <w:rFonts w:cs="Arial"/>
              </w:rPr>
              <w:t>4</w:t>
            </w:r>
          </w:p>
        </w:tc>
      </w:tr>
      <w:tr w:rsidR="00B63985" w:rsidRPr="00771904" w:rsidTr="00B63985">
        <w:trPr>
          <w:cantSplit/>
          <w:trHeight w:val="224"/>
        </w:trPr>
        <w:tc>
          <w:tcPr>
            <w:tcW w:w="0" w:type="auto"/>
            <w:vAlign w:val="center"/>
          </w:tcPr>
          <w:p w:rsidR="00B63985" w:rsidRPr="00771904" w:rsidRDefault="00B63985">
            <w:pPr>
              <w:rPr>
                <w:rFonts w:cs="Arial"/>
              </w:rPr>
            </w:pPr>
            <w:r w:rsidRPr="00771904">
              <w:rPr>
                <w:rFonts w:cs="Arial"/>
              </w:rPr>
              <w:t>A</w:t>
            </w:r>
          </w:p>
        </w:tc>
        <w:tc>
          <w:tcPr>
            <w:tcW w:w="8008" w:type="dxa"/>
            <w:vAlign w:val="center"/>
          </w:tcPr>
          <w:p w:rsidR="00B63985" w:rsidRPr="00771904" w:rsidRDefault="00E63213" w:rsidP="000B4AF6">
            <w:pPr>
              <w:rPr>
                <w:rFonts w:cs="Arial"/>
              </w:rPr>
            </w:pPr>
            <w:hyperlink w:anchor="attA" w:history="1">
              <w:r w:rsidR="00B63985" w:rsidRPr="00771904">
                <w:rPr>
                  <w:rStyle w:val="Hyperlink"/>
                  <w:rFonts w:cs="Arial"/>
                  <w:szCs w:val="22"/>
                </w:rPr>
                <w:t>Indicator C-9 Worksheet</w:t>
              </w:r>
            </w:hyperlink>
          </w:p>
        </w:tc>
        <w:tc>
          <w:tcPr>
            <w:tcW w:w="738" w:type="dxa"/>
            <w:vAlign w:val="center"/>
          </w:tcPr>
          <w:p w:rsidR="00B63985" w:rsidRPr="00771904" w:rsidRDefault="00B63985" w:rsidP="000C0AD4">
            <w:pPr>
              <w:rPr>
                <w:rFonts w:cs="Arial"/>
              </w:rPr>
            </w:pPr>
            <w:r w:rsidRPr="00771904">
              <w:rPr>
                <w:rFonts w:cs="Arial"/>
              </w:rPr>
              <w:t xml:space="preserve">p. </w:t>
            </w:r>
            <w:r w:rsidR="00D1729B" w:rsidRPr="00771904">
              <w:rPr>
                <w:rFonts w:cs="Arial"/>
              </w:rPr>
              <w:t>25</w:t>
            </w:r>
          </w:p>
        </w:tc>
      </w:tr>
    </w:tbl>
    <w:p w:rsidR="00602EE8" w:rsidRPr="00771904" w:rsidRDefault="002A2674" w:rsidP="00DB557E">
      <w:pPr>
        <w:rPr>
          <w:rFonts w:cs="Arial"/>
        </w:rPr>
      </w:pPr>
      <w:r w:rsidRPr="00771904">
        <w:rPr>
          <w:rFonts w:cs="Arial"/>
        </w:rPr>
        <w:t xml:space="preserve">NOTE: If viewing this electronically, each </w:t>
      </w:r>
      <w:r w:rsidR="009C7F2B" w:rsidRPr="00771904">
        <w:rPr>
          <w:rFonts w:cs="Arial"/>
        </w:rPr>
        <w:t xml:space="preserve">blue </w:t>
      </w:r>
      <w:r w:rsidRPr="00771904">
        <w:rPr>
          <w:rFonts w:cs="Arial"/>
        </w:rPr>
        <w:t>indicator above</w:t>
      </w:r>
      <w:r w:rsidR="00CE6790" w:rsidRPr="00771904">
        <w:rPr>
          <w:rFonts w:cs="Arial"/>
        </w:rPr>
        <w:t xml:space="preserve"> </w:t>
      </w:r>
      <w:r w:rsidRPr="00771904">
        <w:rPr>
          <w:rFonts w:cs="Arial"/>
        </w:rPr>
        <w:t xml:space="preserve">is a hyperlink to a bookmark. </w:t>
      </w:r>
      <w:r w:rsidR="006432BF" w:rsidRPr="00771904">
        <w:rPr>
          <w:rFonts w:cs="Arial"/>
        </w:rPr>
        <w:t xml:space="preserve"> </w:t>
      </w:r>
      <w:r w:rsidRPr="00771904">
        <w:rPr>
          <w:rFonts w:cs="Arial"/>
        </w:rPr>
        <w:t xml:space="preserve">To move between indicators type </w:t>
      </w:r>
      <w:r w:rsidR="001F0487" w:rsidRPr="00771904">
        <w:rPr>
          <w:rFonts w:cs="Arial"/>
          <w:b/>
        </w:rPr>
        <w:t xml:space="preserve">Ctrl </w:t>
      </w:r>
      <w:r w:rsidRPr="00771904">
        <w:rPr>
          <w:rFonts w:cs="Arial"/>
          <w:b/>
        </w:rPr>
        <w:t>+</w:t>
      </w:r>
      <w:r w:rsidR="001F0487" w:rsidRPr="00771904">
        <w:rPr>
          <w:rFonts w:cs="Arial"/>
          <w:b/>
        </w:rPr>
        <w:t xml:space="preserve"> g</w:t>
      </w:r>
      <w:r w:rsidRPr="00771904">
        <w:rPr>
          <w:rFonts w:cs="Arial"/>
        </w:rPr>
        <w:t xml:space="preserve"> and then type </w:t>
      </w:r>
      <w:proofErr w:type="spellStart"/>
      <w:proofErr w:type="gramStart"/>
      <w:r w:rsidRPr="00771904">
        <w:rPr>
          <w:rFonts w:cs="Arial"/>
          <w:b/>
        </w:rPr>
        <w:t>ind</w:t>
      </w:r>
      <w:proofErr w:type="spellEnd"/>
      <w:proofErr w:type="gramEnd"/>
      <w:r w:rsidRPr="00771904">
        <w:rPr>
          <w:rFonts w:cs="Arial"/>
          <w:b/>
        </w:rPr>
        <w:t>#</w:t>
      </w:r>
      <w:r w:rsidRPr="00771904">
        <w:rPr>
          <w:rFonts w:cs="Arial"/>
        </w:rPr>
        <w:t xml:space="preserve"> where # is the indicator number</w:t>
      </w:r>
      <w:r w:rsidR="00590013" w:rsidRPr="00771904">
        <w:rPr>
          <w:rFonts w:cs="Arial"/>
        </w:rPr>
        <w:t xml:space="preserve"> (e.g. ind5)</w:t>
      </w:r>
      <w:r w:rsidR="00311710" w:rsidRPr="00771904">
        <w:rPr>
          <w:rFonts w:cs="Arial"/>
        </w:rPr>
        <w:t xml:space="preserve">.  </w:t>
      </w:r>
      <w:r w:rsidR="00D34F88" w:rsidRPr="00771904">
        <w:rPr>
          <w:rFonts w:cs="Arial"/>
        </w:rPr>
        <w:t xml:space="preserve">In addition, other blue text </w:t>
      </w:r>
      <w:r w:rsidR="00564FC9" w:rsidRPr="00771904">
        <w:rPr>
          <w:rFonts w:cs="Arial"/>
        </w:rPr>
        <w:t>throughout</w:t>
      </w:r>
      <w:r w:rsidR="00D34F88" w:rsidRPr="00771904">
        <w:rPr>
          <w:rFonts w:cs="Arial"/>
        </w:rPr>
        <w:t xml:space="preserve"> the document </w:t>
      </w:r>
      <w:r w:rsidR="001758FD" w:rsidRPr="00771904">
        <w:rPr>
          <w:rFonts w:cs="Arial"/>
        </w:rPr>
        <w:t xml:space="preserve">is </w:t>
      </w:r>
      <w:r w:rsidR="00590013" w:rsidRPr="00771904">
        <w:rPr>
          <w:rFonts w:cs="Arial"/>
        </w:rPr>
        <w:t xml:space="preserve">usually </w:t>
      </w:r>
      <w:r w:rsidR="00D34F88" w:rsidRPr="00771904">
        <w:rPr>
          <w:rFonts w:cs="Arial"/>
        </w:rPr>
        <w:t xml:space="preserve">an external link to related files </w:t>
      </w:r>
      <w:r w:rsidR="001758FD" w:rsidRPr="00771904">
        <w:rPr>
          <w:rFonts w:cs="Arial"/>
        </w:rPr>
        <w:t xml:space="preserve">such </w:t>
      </w:r>
      <w:r w:rsidR="004E2C48" w:rsidRPr="00771904">
        <w:rPr>
          <w:rFonts w:cs="Arial"/>
        </w:rPr>
        <w:t xml:space="preserve">as </w:t>
      </w:r>
      <w:r w:rsidR="001758FD" w:rsidRPr="00771904">
        <w:rPr>
          <w:rFonts w:cs="Arial"/>
        </w:rPr>
        <w:t xml:space="preserve">the </w:t>
      </w:r>
      <w:hyperlink r:id="rId13" w:tgtFrame="_blank" w:history="1">
        <w:r w:rsidR="001758FD" w:rsidRPr="00771904">
          <w:rPr>
            <w:rStyle w:val="Hyperlink"/>
            <w:rFonts w:cs="Arial"/>
          </w:rPr>
          <w:t>Public Reporting</w:t>
        </w:r>
      </w:hyperlink>
      <w:r w:rsidR="001758FD" w:rsidRPr="00771904">
        <w:rPr>
          <w:rFonts w:cs="Arial"/>
        </w:rPr>
        <w:t xml:space="preserve"> tables posted on </w:t>
      </w:r>
      <w:hyperlink r:id="rId14" w:history="1">
        <w:r w:rsidR="00602EE8" w:rsidRPr="00771904">
          <w:rPr>
            <w:rStyle w:val="Hyperlink"/>
            <w:rFonts w:cs="Arial"/>
          </w:rPr>
          <w:t>B</w:t>
        </w:r>
        <w:r w:rsidR="001758FD" w:rsidRPr="00771904">
          <w:rPr>
            <w:rStyle w:val="Hyperlink"/>
            <w:rFonts w:cs="Arial"/>
          </w:rPr>
          <w:t>irth23.org</w:t>
        </w:r>
      </w:hyperlink>
      <w:r w:rsidR="007B1565" w:rsidRPr="00771904">
        <w:rPr>
          <w:rFonts w:cs="Arial"/>
        </w:rPr>
        <w:t xml:space="preserve"> u</w:t>
      </w:r>
      <w:r w:rsidR="004F1A25" w:rsidRPr="00771904">
        <w:rPr>
          <w:rFonts w:cs="Arial"/>
        </w:rPr>
        <w:t>nder the menu option that reads</w:t>
      </w:r>
      <w:r w:rsidR="00D34F88" w:rsidRPr="00771904">
        <w:rPr>
          <w:rFonts w:cs="Arial"/>
        </w:rPr>
        <w:t xml:space="preserve"> </w:t>
      </w:r>
      <w:hyperlink r:id="rId15" w:history="1">
        <w:r w:rsidR="00D34F88" w:rsidRPr="00771904">
          <w:rPr>
            <w:rStyle w:val="Hyperlink"/>
            <w:rFonts w:cs="Arial"/>
          </w:rPr>
          <w:t>“How are we doing?”</w:t>
        </w:r>
      </w:hyperlink>
      <w:proofErr w:type="gramStart"/>
      <w:r w:rsidR="00787FDE" w:rsidRPr="00771904">
        <w:rPr>
          <w:rFonts w:cs="Arial"/>
        </w:rPr>
        <w:t>.</w:t>
      </w:r>
      <w:proofErr w:type="gramEnd"/>
      <w:r w:rsidR="007B1565" w:rsidRPr="00771904">
        <w:rPr>
          <w:rFonts w:cs="Arial"/>
        </w:rPr>
        <w:t xml:space="preserve"> </w:t>
      </w:r>
      <w:r w:rsidR="00564FC9" w:rsidRPr="00771904">
        <w:rPr>
          <w:rFonts w:cs="Arial"/>
        </w:rPr>
        <w:t xml:space="preserve"> The </w:t>
      </w:r>
      <w:hyperlink r:id="rId16" w:tgtFrame="_blank" w:history="1">
        <w:r w:rsidR="00564FC9" w:rsidRPr="00771904">
          <w:rPr>
            <w:rStyle w:val="Hyperlink"/>
            <w:rFonts w:cs="Arial"/>
          </w:rPr>
          <w:t>Public Reporting</w:t>
        </w:r>
      </w:hyperlink>
      <w:r w:rsidR="00564FC9" w:rsidRPr="00771904">
        <w:rPr>
          <w:rFonts w:cs="Arial"/>
        </w:rPr>
        <w:t xml:space="preserve"> tables will be updated by </w:t>
      </w:r>
      <w:r w:rsidR="00C47124" w:rsidRPr="00771904">
        <w:rPr>
          <w:rFonts w:cs="Arial"/>
        </w:rPr>
        <w:t>February</w:t>
      </w:r>
      <w:r w:rsidR="00564FC9" w:rsidRPr="00771904">
        <w:rPr>
          <w:rFonts w:cs="Arial"/>
        </w:rPr>
        <w:t xml:space="preserve"> 28, 2013.</w:t>
      </w:r>
    </w:p>
    <w:p w:rsidR="00602EE8" w:rsidRPr="00771904" w:rsidRDefault="00602EE8" w:rsidP="00DB557E">
      <w:pPr>
        <w:rPr>
          <w:rFonts w:cs="Arial"/>
        </w:rPr>
      </w:pPr>
    </w:p>
    <w:p w:rsidR="00564FC9" w:rsidRPr="00771904" w:rsidRDefault="00192829" w:rsidP="00DB557E">
      <w:pPr>
        <w:rPr>
          <w:rFonts w:cs="Arial"/>
        </w:rPr>
      </w:pPr>
      <w:r w:rsidRPr="00771904">
        <w:rPr>
          <w:rFonts w:cs="Arial"/>
        </w:rPr>
        <w:t>The State</w:t>
      </w:r>
      <w:r w:rsidR="00602EE8" w:rsidRPr="00771904">
        <w:rPr>
          <w:rFonts w:cs="Arial"/>
        </w:rPr>
        <w:t xml:space="preserve"> Performance Plan </w:t>
      </w:r>
      <w:r w:rsidR="007A606C" w:rsidRPr="00771904">
        <w:rPr>
          <w:rFonts w:cs="Arial"/>
        </w:rPr>
        <w:t xml:space="preserve">upon which </w:t>
      </w:r>
      <w:r w:rsidR="00602EE8" w:rsidRPr="00771904">
        <w:rPr>
          <w:rFonts w:cs="Arial"/>
        </w:rPr>
        <w:t xml:space="preserve">this report is based is located at </w:t>
      </w:r>
      <w:hyperlink r:id="rId17" w:history="1">
        <w:r w:rsidR="00602EE8" w:rsidRPr="00771904">
          <w:rPr>
            <w:rStyle w:val="Hyperlink"/>
            <w:rFonts w:cs="Arial"/>
          </w:rPr>
          <w:t>Birth23.org</w:t>
        </w:r>
      </w:hyperlink>
      <w:r w:rsidR="00602EE8" w:rsidRPr="00771904">
        <w:rPr>
          <w:rFonts w:cs="Arial"/>
        </w:rPr>
        <w:t xml:space="preserve"> under </w:t>
      </w:r>
      <w:hyperlink r:id="rId18" w:history="1">
        <w:r w:rsidR="00787FDE" w:rsidRPr="00771904">
          <w:rPr>
            <w:rStyle w:val="Hyperlink"/>
            <w:rFonts w:cs="Arial"/>
          </w:rPr>
          <w:t>“How are we doing?”</w:t>
        </w:r>
      </w:hyperlink>
      <w:r w:rsidR="00602EE8" w:rsidRPr="00771904">
        <w:rPr>
          <w:rFonts w:cs="Arial"/>
        </w:rPr>
        <w:t xml:space="preserve"> </w:t>
      </w:r>
      <w:proofErr w:type="gramStart"/>
      <w:r w:rsidR="00602EE8" w:rsidRPr="00771904">
        <w:rPr>
          <w:rFonts w:cs="Arial"/>
        </w:rPr>
        <w:t>on</w:t>
      </w:r>
      <w:proofErr w:type="gramEnd"/>
      <w:r w:rsidR="00602EE8" w:rsidRPr="00771904">
        <w:rPr>
          <w:rFonts w:cs="Arial"/>
        </w:rPr>
        <w:t xml:space="preserve"> the</w:t>
      </w:r>
      <w:r w:rsidR="00F42BDB" w:rsidRPr="00771904">
        <w:rPr>
          <w:rFonts w:cs="Arial"/>
        </w:rPr>
        <w:t xml:space="preserve"> left-</w:t>
      </w:r>
      <w:r w:rsidR="004E2C48" w:rsidRPr="00771904">
        <w:rPr>
          <w:rFonts w:cs="Arial"/>
        </w:rPr>
        <w:t xml:space="preserve">hand </w:t>
      </w:r>
      <w:r w:rsidR="007A606C" w:rsidRPr="00771904">
        <w:rPr>
          <w:rFonts w:cs="Arial"/>
        </w:rPr>
        <w:t xml:space="preserve">menu.  </w:t>
      </w:r>
      <w:r w:rsidR="004E2C48" w:rsidRPr="00771904">
        <w:rPr>
          <w:rFonts w:cs="Arial"/>
        </w:rPr>
        <w:br/>
      </w:r>
      <w:r w:rsidR="004E2C48" w:rsidRPr="00771904">
        <w:rPr>
          <w:rFonts w:cs="Arial"/>
        </w:rPr>
        <w:br/>
      </w:r>
      <w:r w:rsidR="007A606C" w:rsidRPr="00771904">
        <w:rPr>
          <w:rFonts w:cs="Arial"/>
        </w:rPr>
        <w:t xml:space="preserve">The </w:t>
      </w:r>
      <w:r w:rsidR="00564FC9" w:rsidRPr="00771904">
        <w:rPr>
          <w:rFonts w:cs="Arial"/>
        </w:rPr>
        <w:t xml:space="preserve">URL </w:t>
      </w:r>
      <w:r w:rsidR="004E2C48" w:rsidRPr="00771904">
        <w:rPr>
          <w:rFonts w:cs="Arial"/>
        </w:rPr>
        <w:t xml:space="preserve">for the </w:t>
      </w:r>
      <w:hyperlink r:id="rId19" w:history="1">
        <w:r w:rsidR="00564FC9" w:rsidRPr="00771904">
          <w:rPr>
            <w:rStyle w:val="Hyperlink"/>
            <w:rFonts w:cs="Arial"/>
          </w:rPr>
          <w:t>State Performance Plans</w:t>
        </w:r>
      </w:hyperlink>
      <w:r w:rsidR="00564FC9" w:rsidRPr="00771904">
        <w:rPr>
          <w:rFonts w:cs="Arial"/>
        </w:rPr>
        <w:t xml:space="preserve"> </w:t>
      </w:r>
      <w:r w:rsidR="007A606C" w:rsidRPr="00771904">
        <w:rPr>
          <w:rFonts w:cs="Arial"/>
        </w:rPr>
        <w:t xml:space="preserve">is </w:t>
      </w:r>
      <w:hyperlink r:id="rId20" w:history="1">
        <w:r w:rsidR="007A606C" w:rsidRPr="00771904">
          <w:rPr>
            <w:rStyle w:val="Hyperlink"/>
            <w:rFonts w:cs="Arial"/>
          </w:rPr>
          <w:t>http://www.birth23.org/accountability/spp/</w:t>
        </w:r>
      </w:hyperlink>
      <w:r w:rsidR="007A606C" w:rsidRPr="00771904">
        <w:rPr>
          <w:rFonts w:cs="Arial"/>
        </w:rPr>
        <w:t>.</w:t>
      </w:r>
    </w:p>
    <w:p w:rsidR="00564FC9" w:rsidRPr="00771904" w:rsidRDefault="00564FC9" w:rsidP="00564FC9">
      <w:pPr>
        <w:rPr>
          <w:rFonts w:cs="Arial"/>
        </w:rPr>
      </w:pPr>
      <w:r w:rsidRPr="00771904">
        <w:rPr>
          <w:rFonts w:cs="Arial"/>
        </w:rPr>
        <w:t xml:space="preserve">The URL for the </w:t>
      </w:r>
      <w:hyperlink r:id="rId21" w:tgtFrame="_blank" w:history="1">
        <w:r w:rsidRPr="00771904">
          <w:rPr>
            <w:rStyle w:val="Hyperlink"/>
            <w:rFonts w:cs="Arial"/>
          </w:rPr>
          <w:t>Public Reporting</w:t>
        </w:r>
      </w:hyperlink>
      <w:r w:rsidRPr="00771904">
        <w:rPr>
          <w:rFonts w:cs="Arial"/>
        </w:rPr>
        <w:t xml:space="preserve"> tables is </w:t>
      </w:r>
      <w:hyperlink r:id="rId22" w:history="1">
        <w:r w:rsidRPr="00771904">
          <w:rPr>
            <w:rStyle w:val="Hyperlink"/>
            <w:rFonts w:cs="Arial"/>
          </w:rPr>
          <w:t>http://www.birth23.org/accountability/pr/</w:t>
        </w:r>
      </w:hyperlink>
      <w:r w:rsidRPr="00771904">
        <w:rPr>
          <w:rFonts w:cs="Arial"/>
        </w:rPr>
        <w:t>.</w:t>
      </w:r>
    </w:p>
    <w:p w:rsidR="004E51A2" w:rsidRPr="00771904" w:rsidRDefault="007A606C" w:rsidP="00DB557E">
      <w:pPr>
        <w:rPr>
          <w:rFonts w:cs="Arial"/>
        </w:rPr>
      </w:pPr>
      <w:r w:rsidRPr="00771904">
        <w:rPr>
          <w:rFonts w:cs="Arial"/>
        </w:rPr>
        <w:t xml:space="preserve"> </w:t>
      </w:r>
    </w:p>
    <w:p w:rsidR="00DB557E" w:rsidRPr="00771904" w:rsidRDefault="005C1945" w:rsidP="00DB557E">
      <w:pPr>
        <w:rPr>
          <w:rFonts w:cs="Arial"/>
        </w:rPr>
      </w:pPr>
      <w:r w:rsidRPr="00771904">
        <w:rPr>
          <w:rFonts w:cs="Arial"/>
        </w:rPr>
        <w:br w:type="page"/>
      </w:r>
    </w:p>
    <w:p w:rsidR="00C02A8F" w:rsidRPr="00771904" w:rsidRDefault="00C02A8F" w:rsidP="00C02A8F">
      <w:pPr>
        <w:pStyle w:val="StyleLeft025"/>
        <w:ind w:left="0"/>
        <w:rPr>
          <w:rFonts w:cs="Arial"/>
          <w:b/>
          <w:szCs w:val="22"/>
        </w:rPr>
      </w:pPr>
      <w:r w:rsidRPr="00771904">
        <w:rPr>
          <w:rFonts w:cs="Arial"/>
          <w:b/>
          <w:szCs w:val="22"/>
        </w:rPr>
        <w:lastRenderedPageBreak/>
        <w:t>Part C State Annual Performance Report (APR) for Federal Fiscal Year (FFY) 2012</w:t>
      </w:r>
    </w:p>
    <w:p w:rsidR="00C02A8F" w:rsidRPr="00771904" w:rsidRDefault="00C02A8F" w:rsidP="00C02A8F">
      <w:pPr>
        <w:pStyle w:val="StyleLeft025"/>
        <w:ind w:left="0"/>
        <w:rPr>
          <w:rFonts w:cs="Arial"/>
          <w:szCs w:val="22"/>
        </w:rPr>
      </w:pPr>
    </w:p>
    <w:p w:rsidR="00C02A8F" w:rsidRPr="00771904" w:rsidRDefault="00C02A8F" w:rsidP="00C02A8F">
      <w:pPr>
        <w:spacing w:after="120"/>
        <w:rPr>
          <w:rFonts w:cs="Arial"/>
          <w:b/>
          <w:iCs/>
          <w:szCs w:val="22"/>
        </w:rPr>
      </w:pPr>
      <w:r w:rsidRPr="00771904">
        <w:rPr>
          <w:rFonts w:cs="Arial"/>
          <w:b/>
          <w:iCs/>
          <w:szCs w:val="22"/>
        </w:rPr>
        <w:t>Overview of the Annual Performance Report Development:</w:t>
      </w:r>
    </w:p>
    <w:p w:rsidR="00482C9D" w:rsidRPr="00771904" w:rsidRDefault="00482C9D" w:rsidP="00C02A8F">
      <w:pPr>
        <w:pStyle w:val="StyleLeft025"/>
        <w:ind w:left="0"/>
        <w:rPr>
          <w:rFonts w:cs="Arial"/>
          <w:iCs/>
          <w:color w:val="000000" w:themeColor="text1"/>
          <w:szCs w:val="22"/>
        </w:rPr>
      </w:pPr>
    </w:p>
    <w:p w:rsidR="0095359B" w:rsidRPr="00771904" w:rsidRDefault="000506D2" w:rsidP="0095359B">
      <w:pPr>
        <w:rPr>
          <w:rFonts w:cs="Arial"/>
          <w:iCs/>
          <w:color w:val="000000" w:themeColor="text1"/>
          <w:szCs w:val="22"/>
        </w:rPr>
      </w:pPr>
      <w:r w:rsidRPr="00771904">
        <w:rPr>
          <w:rFonts w:cs="Arial"/>
          <w:iCs/>
          <w:color w:val="000000" w:themeColor="text1"/>
          <w:szCs w:val="22"/>
        </w:rPr>
        <w:t>A</w:t>
      </w:r>
      <w:r w:rsidR="00482C9D" w:rsidRPr="00771904">
        <w:rPr>
          <w:rFonts w:cs="Arial"/>
          <w:iCs/>
          <w:color w:val="000000" w:themeColor="text1"/>
          <w:szCs w:val="22"/>
        </w:rPr>
        <w:t xml:space="preserve"> summary of this report </w:t>
      </w:r>
      <w:r w:rsidRPr="00771904">
        <w:rPr>
          <w:rFonts w:cs="Arial"/>
          <w:iCs/>
          <w:color w:val="000000" w:themeColor="text1"/>
          <w:szCs w:val="22"/>
        </w:rPr>
        <w:t xml:space="preserve">was </w:t>
      </w:r>
      <w:r w:rsidR="00482C9D" w:rsidRPr="00771904">
        <w:rPr>
          <w:rFonts w:cs="Arial"/>
          <w:iCs/>
          <w:color w:val="000000" w:themeColor="text1"/>
          <w:szCs w:val="22"/>
        </w:rPr>
        <w:t xml:space="preserve">presented to the entire State Interagency Coordinating Council (ICC) on </w:t>
      </w:r>
      <w:r w:rsidR="00482C9D" w:rsidRPr="00771904">
        <w:rPr>
          <w:rFonts w:cs="Arial"/>
          <w:color w:val="000000" w:themeColor="text1"/>
          <w:szCs w:val="22"/>
        </w:rPr>
        <w:t>October 28, 2013</w:t>
      </w:r>
      <w:r w:rsidR="00482C9D" w:rsidRPr="00771904">
        <w:rPr>
          <w:rFonts w:cs="Arial"/>
          <w:iCs/>
          <w:color w:val="000000" w:themeColor="text1"/>
          <w:szCs w:val="22"/>
        </w:rPr>
        <w:t xml:space="preserve">.  </w:t>
      </w:r>
      <w:r w:rsidR="00564FC9" w:rsidRPr="00771904">
        <w:rPr>
          <w:rFonts w:cs="Arial"/>
          <w:iCs/>
          <w:color w:val="000000" w:themeColor="text1"/>
          <w:szCs w:val="22"/>
        </w:rPr>
        <w:t xml:space="preserve">Summaries were reviewed at regional provider meetings in early December.  </w:t>
      </w:r>
      <w:r w:rsidR="001560E5" w:rsidRPr="00771904">
        <w:rPr>
          <w:rFonts w:cs="Arial"/>
          <w:iCs/>
          <w:color w:val="000000" w:themeColor="text1"/>
          <w:szCs w:val="22"/>
        </w:rPr>
        <w:t xml:space="preserve">A subcommittee </w:t>
      </w:r>
      <w:r w:rsidR="00564FC9" w:rsidRPr="00771904">
        <w:rPr>
          <w:rFonts w:cs="Arial"/>
          <w:iCs/>
          <w:color w:val="000000" w:themeColor="text1"/>
          <w:szCs w:val="22"/>
        </w:rPr>
        <w:t xml:space="preserve">of the ICC </w:t>
      </w:r>
      <w:r w:rsidR="00482C9D" w:rsidRPr="00771904">
        <w:rPr>
          <w:rFonts w:cs="Arial"/>
          <w:iCs/>
          <w:color w:val="000000" w:themeColor="text1"/>
          <w:szCs w:val="22"/>
        </w:rPr>
        <w:t xml:space="preserve">reviewed a draft </w:t>
      </w:r>
      <w:r w:rsidR="0082351E" w:rsidRPr="00771904">
        <w:rPr>
          <w:rFonts w:cs="Arial"/>
          <w:iCs/>
          <w:color w:val="000000" w:themeColor="text1"/>
          <w:szCs w:val="22"/>
        </w:rPr>
        <w:t xml:space="preserve">of </w:t>
      </w:r>
      <w:r w:rsidRPr="00771904">
        <w:rPr>
          <w:rFonts w:cs="Arial"/>
          <w:iCs/>
          <w:color w:val="000000" w:themeColor="text1"/>
          <w:szCs w:val="22"/>
        </w:rPr>
        <w:t xml:space="preserve">the full </w:t>
      </w:r>
      <w:r w:rsidR="00D56C96" w:rsidRPr="00771904">
        <w:rPr>
          <w:rFonts w:cs="Arial"/>
          <w:iCs/>
          <w:color w:val="000000" w:themeColor="text1"/>
          <w:szCs w:val="22"/>
        </w:rPr>
        <w:t xml:space="preserve">APR </w:t>
      </w:r>
      <w:r w:rsidR="00482C9D" w:rsidRPr="00771904">
        <w:rPr>
          <w:rFonts w:cs="Arial"/>
          <w:color w:val="000000" w:themeColor="text1"/>
        </w:rPr>
        <w:t xml:space="preserve">and </w:t>
      </w:r>
      <w:r w:rsidR="001560E5" w:rsidRPr="00771904">
        <w:rPr>
          <w:rFonts w:cs="Arial"/>
          <w:iCs/>
          <w:color w:val="000000" w:themeColor="text1"/>
          <w:szCs w:val="22"/>
        </w:rPr>
        <w:t>met via a web</w:t>
      </w:r>
      <w:r w:rsidR="00BE2887" w:rsidRPr="00771904">
        <w:rPr>
          <w:rFonts w:cs="Arial"/>
          <w:iCs/>
          <w:color w:val="000000" w:themeColor="text1"/>
          <w:szCs w:val="22"/>
        </w:rPr>
        <w:t xml:space="preserve"> </w:t>
      </w:r>
      <w:r w:rsidR="00D56C96" w:rsidRPr="00771904">
        <w:rPr>
          <w:rFonts w:cs="Arial"/>
          <w:iCs/>
          <w:color w:val="000000" w:themeColor="text1"/>
          <w:szCs w:val="22"/>
        </w:rPr>
        <w:t xml:space="preserve">conference </w:t>
      </w:r>
      <w:r w:rsidR="001560E5" w:rsidRPr="00771904">
        <w:rPr>
          <w:rFonts w:cs="Arial"/>
          <w:iCs/>
          <w:color w:val="000000" w:themeColor="text1"/>
          <w:szCs w:val="22"/>
        </w:rPr>
        <w:t xml:space="preserve">on </w:t>
      </w:r>
      <w:r w:rsidR="004E2C48" w:rsidRPr="00771904">
        <w:rPr>
          <w:rFonts w:cs="Arial"/>
          <w:color w:val="000000" w:themeColor="text1"/>
          <w:szCs w:val="22"/>
        </w:rPr>
        <w:t>December 23, 2013</w:t>
      </w:r>
      <w:r w:rsidR="002A6A91" w:rsidRPr="00771904">
        <w:rPr>
          <w:rFonts w:cs="Arial"/>
          <w:iCs/>
          <w:color w:val="000000" w:themeColor="text1"/>
          <w:szCs w:val="22"/>
        </w:rPr>
        <w:t xml:space="preserve"> </w:t>
      </w:r>
      <w:r w:rsidR="00482C9D" w:rsidRPr="00771904">
        <w:rPr>
          <w:rFonts w:cs="Arial"/>
          <w:iCs/>
          <w:color w:val="000000" w:themeColor="text1"/>
          <w:szCs w:val="22"/>
        </w:rPr>
        <w:t>to provide input</w:t>
      </w:r>
      <w:r w:rsidR="00564FC9" w:rsidRPr="00771904">
        <w:rPr>
          <w:rFonts w:cs="Arial"/>
          <w:iCs/>
          <w:color w:val="000000" w:themeColor="text1"/>
          <w:szCs w:val="22"/>
        </w:rPr>
        <w:t xml:space="preserve"> </w:t>
      </w:r>
      <w:r w:rsidR="004C7013" w:rsidRPr="00771904">
        <w:rPr>
          <w:rFonts w:cs="Arial"/>
          <w:iCs/>
          <w:color w:val="000000" w:themeColor="text1"/>
          <w:szCs w:val="22"/>
        </w:rPr>
        <w:t xml:space="preserve">and the final draft was posted on Birth23.org </w:t>
      </w:r>
      <w:r w:rsidR="00564FC9" w:rsidRPr="00771904">
        <w:rPr>
          <w:rFonts w:cs="Arial"/>
          <w:iCs/>
          <w:color w:val="000000" w:themeColor="text1"/>
          <w:szCs w:val="22"/>
        </w:rPr>
        <w:t>that afternoon</w:t>
      </w:r>
      <w:r w:rsidR="00846678" w:rsidRPr="00771904">
        <w:rPr>
          <w:rFonts w:cs="Arial"/>
          <w:iCs/>
          <w:color w:val="000000" w:themeColor="text1"/>
          <w:szCs w:val="22"/>
        </w:rPr>
        <w:t xml:space="preserve">.  </w:t>
      </w:r>
      <w:r w:rsidR="0095359B" w:rsidRPr="00771904">
        <w:rPr>
          <w:rFonts w:cs="Arial"/>
          <w:iCs/>
          <w:color w:val="000000" w:themeColor="text1"/>
          <w:szCs w:val="22"/>
        </w:rPr>
        <w:t xml:space="preserve">Notification was </w:t>
      </w:r>
      <w:r w:rsidR="00B323B2" w:rsidRPr="00771904">
        <w:rPr>
          <w:rFonts w:cs="Arial"/>
          <w:iCs/>
          <w:color w:val="000000" w:themeColor="text1"/>
          <w:szCs w:val="22"/>
        </w:rPr>
        <w:t xml:space="preserve">send to Connecticut’s </w:t>
      </w:r>
      <w:r w:rsidR="0095359B" w:rsidRPr="00771904">
        <w:rPr>
          <w:rFonts w:cs="Arial"/>
          <w:iCs/>
          <w:color w:val="000000" w:themeColor="text1"/>
          <w:szCs w:val="22"/>
        </w:rPr>
        <w:t>PTI</w:t>
      </w:r>
      <w:r w:rsidRPr="00771904">
        <w:rPr>
          <w:rFonts w:cs="Arial"/>
          <w:iCs/>
          <w:color w:val="000000" w:themeColor="text1"/>
          <w:szCs w:val="22"/>
        </w:rPr>
        <w:t xml:space="preserve">, CPAC. </w:t>
      </w:r>
      <w:proofErr w:type="gramStart"/>
      <w:r w:rsidRPr="00771904">
        <w:rPr>
          <w:rFonts w:cs="Arial"/>
          <w:iCs/>
          <w:color w:val="000000" w:themeColor="text1"/>
          <w:szCs w:val="22"/>
        </w:rPr>
        <w:t>Inc.,</w:t>
      </w:r>
      <w:proofErr w:type="gramEnd"/>
      <w:r w:rsidR="007C7060" w:rsidRPr="00771904">
        <w:rPr>
          <w:rFonts w:cs="Arial"/>
          <w:iCs/>
          <w:color w:val="000000" w:themeColor="text1"/>
          <w:szCs w:val="22"/>
        </w:rPr>
        <w:t xml:space="preserve"> and </w:t>
      </w:r>
      <w:r w:rsidR="00B323B2" w:rsidRPr="00771904">
        <w:rPr>
          <w:rFonts w:cs="Arial"/>
          <w:iCs/>
          <w:color w:val="000000" w:themeColor="text1"/>
          <w:szCs w:val="22"/>
        </w:rPr>
        <w:t>the Connecticut</w:t>
      </w:r>
      <w:r w:rsidR="0095359B" w:rsidRPr="00771904">
        <w:rPr>
          <w:rFonts w:cs="Arial"/>
          <w:iCs/>
          <w:color w:val="000000" w:themeColor="text1"/>
          <w:szCs w:val="22"/>
        </w:rPr>
        <w:t xml:space="preserve"> Family Support </w:t>
      </w:r>
      <w:r w:rsidR="007C7060" w:rsidRPr="00771904">
        <w:rPr>
          <w:rFonts w:cs="Arial"/>
          <w:iCs/>
          <w:color w:val="000000" w:themeColor="text1"/>
          <w:szCs w:val="22"/>
        </w:rPr>
        <w:t>Network</w:t>
      </w:r>
      <w:r w:rsidR="00B323B2" w:rsidRPr="00771904">
        <w:rPr>
          <w:rFonts w:cs="Arial"/>
          <w:iCs/>
          <w:color w:val="000000" w:themeColor="text1"/>
          <w:szCs w:val="22"/>
        </w:rPr>
        <w:t xml:space="preserve"> as well a</w:t>
      </w:r>
      <w:r w:rsidR="0095359B" w:rsidRPr="00771904">
        <w:rPr>
          <w:rFonts w:cs="Arial"/>
          <w:iCs/>
          <w:color w:val="000000" w:themeColor="text1"/>
          <w:szCs w:val="22"/>
        </w:rPr>
        <w:t xml:space="preserve">ll early intervention </w:t>
      </w:r>
      <w:r w:rsidR="001560E5" w:rsidRPr="00771904">
        <w:rPr>
          <w:rFonts w:cs="Arial"/>
          <w:iCs/>
          <w:color w:val="000000" w:themeColor="text1"/>
          <w:szCs w:val="22"/>
        </w:rPr>
        <w:t xml:space="preserve">providers </w:t>
      </w:r>
      <w:r w:rsidR="0095359B" w:rsidRPr="00771904">
        <w:rPr>
          <w:rFonts w:cs="Arial"/>
          <w:iCs/>
          <w:color w:val="000000" w:themeColor="text1"/>
          <w:szCs w:val="22"/>
        </w:rPr>
        <w:t xml:space="preserve">through the </w:t>
      </w:r>
      <w:r w:rsidR="00B323B2" w:rsidRPr="00771904">
        <w:rPr>
          <w:rFonts w:cs="Arial"/>
          <w:iCs/>
          <w:color w:val="000000" w:themeColor="text1"/>
          <w:szCs w:val="22"/>
        </w:rPr>
        <w:t xml:space="preserve">Lead Agency’s </w:t>
      </w:r>
      <w:r w:rsidR="0095359B" w:rsidRPr="00771904">
        <w:rPr>
          <w:rFonts w:cs="Arial"/>
          <w:iCs/>
          <w:color w:val="000000" w:themeColor="text1"/>
          <w:szCs w:val="22"/>
        </w:rPr>
        <w:t>biweekly electronic Birth to Three Provider Newsletter.</w:t>
      </w:r>
      <w:r w:rsidR="004C7013" w:rsidRPr="00771904">
        <w:rPr>
          <w:rFonts w:cs="Arial"/>
          <w:iCs/>
          <w:color w:val="000000" w:themeColor="text1"/>
          <w:szCs w:val="22"/>
        </w:rPr>
        <w:t xml:space="preserve"> </w:t>
      </w:r>
      <w:r w:rsidR="00FD7650" w:rsidRPr="00771904">
        <w:rPr>
          <w:rFonts w:cs="Arial"/>
          <w:color w:val="000000" w:themeColor="text1"/>
          <w:szCs w:val="22"/>
        </w:rPr>
        <w:t xml:space="preserve">Announcements were also posted on the CTBirth23 </w:t>
      </w:r>
      <w:r w:rsidR="00BE2887" w:rsidRPr="00771904">
        <w:rPr>
          <w:rFonts w:cs="Arial"/>
          <w:color w:val="000000" w:themeColor="text1"/>
          <w:szCs w:val="22"/>
        </w:rPr>
        <w:t>F</w:t>
      </w:r>
      <w:r w:rsidR="00FD7650" w:rsidRPr="00771904">
        <w:rPr>
          <w:rFonts w:cs="Arial"/>
          <w:color w:val="000000" w:themeColor="text1"/>
          <w:szCs w:val="22"/>
        </w:rPr>
        <w:t xml:space="preserve">acebook page and </w:t>
      </w:r>
      <w:r w:rsidR="00B323B2" w:rsidRPr="00771904">
        <w:rPr>
          <w:rFonts w:cs="Arial"/>
          <w:color w:val="000000" w:themeColor="text1"/>
          <w:szCs w:val="22"/>
        </w:rPr>
        <w:t xml:space="preserve">on </w:t>
      </w:r>
      <w:r w:rsidR="00FD7650" w:rsidRPr="00771904">
        <w:rPr>
          <w:rFonts w:cs="Arial"/>
          <w:color w:val="000000" w:themeColor="text1"/>
          <w:szCs w:val="22"/>
        </w:rPr>
        <w:t xml:space="preserve">Twitter.  </w:t>
      </w:r>
      <w:r w:rsidR="004C7013" w:rsidRPr="00771904">
        <w:rPr>
          <w:rFonts w:cs="Arial"/>
          <w:iCs/>
          <w:color w:val="000000" w:themeColor="text1"/>
          <w:szCs w:val="22"/>
        </w:rPr>
        <w:t xml:space="preserve"> Between </w:t>
      </w:r>
      <w:r w:rsidR="00192829" w:rsidRPr="00771904">
        <w:rPr>
          <w:rFonts w:cs="Arial"/>
          <w:color w:val="000000" w:themeColor="text1"/>
          <w:szCs w:val="22"/>
        </w:rPr>
        <w:t>January 16</w:t>
      </w:r>
      <w:r w:rsidR="00192829" w:rsidRPr="00771904">
        <w:rPr>
          <w:rFonts w:cs="Arial"/>
          <w:color w:val="000000" w:themeColor="text1"/>
          <w:szCs w:val="22"/>
          <w:vertAlign w:val="superscript"/>
        </w:rPr>
        <w:t>th</w:t>
      </w:r>
      <w:r w:rsidR="00192829" w:rsidRPr="00771904">
        <w:rPr>
          <w:rFonts w:cs="Arial"/>
          <w:color w:val="000000" w:themeColor="text1"/>
          <w:szCs w:val="22"/>
        </w:rPr>
        <w:t xml:space="preserve"> and January 30</w:t>
      </w:r>
      <w:r w:rsidR="00192829" w:rsidRPr="00771904">
        <w:rPr>
          <w:rFonts w:cs="Arial"/>
          <w:color w:val="000000" w:themeColor="text1"/>
          <w:szCs w:val="22"/>
          <w:vertAlign w:val="superscript"/>
        </w:rPr>
        <w:t>th</w:t>
      </w:r>
      <w:r w:rsidR="00192829" w:rsidRPr="00771904">
        <w:rPr>
          <w:rFonts w:cs="Arial"/>
          <w:color w:val="000000" w:themeColor="text1"/>
          <w:szCs w:val="22"/>
        </w:rPr>
        <w:t xml:space="preserve"> </w:t>
      </w:r>
      <w:r w:rsidR="004C7013" w:rsidRPr="00771904">
        <w:rPr>
          <w:rFonts w:cs="Arial"/>
          <w:iCs/>
          <w:color w:val="000000" w:themeColor="text1"/>
          <w:szCs w:val="22"/>
        </w:rPr>
        <w:t xml:space="preserve">the document was finalized based on </w:t>
      </w:r>
      <w:r w:rsidR="00B323B2" w:rsidRPr="00771904">
        <w:rPr>
          <w:rFonts w:cs="Arial"/>
          <w:iCs/>
          <w:color w:val="000000" w:themeColor="text1"/>
          <w:szCs w:val="22"/>
        </w:rPr>
        <w:t xml:space="preserve">this </w:t>
      </w:r>
      <w:r w:rsidR="004C7013" w:rsidRPr="00771904">
        <w:rPr>
          <w:rFonts w:cs="Arial"/>
          <w:iCs/>
          <w:color w:val="000000" w:themeColor="text1"/>
          <w:szCs w:val="22"/>
        </w:rPr>
        <w:t xml:space="preserve">broad stakeholder input. </w:t>
      </w:r>
    </w:p>
    <w:p w:rsidR="008E1688" w:rsidRPr="00771904" w:rsidRDefault="008E1688" w:rsidP="008E1688">
      <w:pPr>
        <w:rPr>
          <w:rFonts w:cs="Arial"/>
          <w:iCs/>
          <w:szCs w:val="22"/>
        </w:rPr>
      </w:pPr>
    </w:p>
    <w:p w:rsidR="008E1688" w:rsidRPr="00771904" w:rsidRDefault="008E1688" w:rsidP="008E1688">
      <w:pPr>
        <w:rPr>
          <w:rFonts w:cs="Arial"/>
          <w:iCs/>
          <w:szCs w:val="22"/>
        </w:rPr>
      </w:pPr>
      <w:r w:rsidRPr="00771904">
        <w:rPr>
          <w:rFonts w:cs="Arial"/>
          <w:iCs/>
          <w:szCs w:val="22"/>
        </w:rPr>
        <w:t xml:space="preserve">In addition to having Connecticut stakeholders review and revise the draft APR, the lead agency received </w:t>
      </w:r>
      <w:r w:rsidR="00B323B2" w:rsidRPr="00771904">
        <w:rPr>
          <w:rFonts w:cs="Arial"/>
          <w:iCs/>
          <w:szCs w:val="22"/>
        </w:rPr>
        <w:t xml:space="preserve">very </w:t>
      </w:r>
      <w:r w:rsidRPr="00771904">
        <w:rPr>
          <w:rFonts w:cs="Arial"/>
          <w:iCs/>
          <w:szCs w:val="22"/>
        </w:rPr>
        <w:t xml:space="preserve">helpful reviews from </w:t>
      </w:r>
      <w:r w:rsidR="00BE2887" w:rsidRPr="00771904">
        <w:rPr>
          <w:rFonts w:cs="Arial"/>
          <w:iCs/>
          <w:szCs w:val="22"/>
        </w:rPr>
        <w:t xml:space="preserve">the </w:t>
      </w:r>
      <w:r w:rsidRPr="00771904">
        <w:rPr>
          <w:rFonts w:cs="Arial"/>
          <w:iCs/>
          <w:szCs w:val="22"/>
        </w:rPr>
        <w:t>Early Childhood Techn</w:t>
      </w:r>
      <w:r w:rsidR="002A6A91" w:rsidRPr="00771904">
        <w:rPr>
          <w:rFonts w:cs="Arial"/>
          <w:iCs/>
          <w:szCs w:val="22"/>
        </w:rPr>
        <w:t>ical Assistance c</w:t>
      </w:r>
      <w:r w:rsidR="001560E5" w:rsidRPr="00771904">
        <w:rPr>
          <w:rFonts w:cs="Arial"/>
          <w:iCs/>
          <w:szCs w:val="22"/>
        </w:rPr>
        <w:t>enter (</w:t>
      </w:r>
      <w:r w:rsidR="002A6A91" w:rsidRPr="00771904">
        <w:rPr>
          <w:rFonts w:cs="Arial"/>
          <w:iCs/>
          <w:szCs w:val="22"/>
        </w:rPr>
        <w:t>ECTA</w:t>
      </w:r>
      <w:r w:rsidR="00DB557E" w:rsidRPr="00771904">
        <w:rPr>
          <w:rFonts w:cs="Arial"/>
          <w:iCs/>
          <w:szCs w:val="22"/>
        </w:rPr>
        <w:t xml:space="preserve">) and </w:t>
      </w:r>
      <w:r w:rsidR="000506D2" w:rsidRPr="00771904">
        <w:rPr>
          <w:rFonts w:cs="Arial"/>
          <w:iCs/>
          <w:szCs w:val="22"/>
        </w:rPr>
        <w:t>the Northe</w:t>
      </w:r>
      <w:r w:rsidRPr="00771904">
        <w:rPr>
          <w:rFonts w:cs="Arial"/>
          <w:iCs/>
          <w:szCs w:val="22"/>
        </w:rPr>
        <w:t>ast Regional Resource Center (NERRC</w:t>
      </w:r>
      <w:r w:rsidR="00DB557E" w:rsidRPr="00771904">
        <w:rPr>
          <w:rFonts w:cs="Arial"/>
          <w:iCs/>
          <w:szCs w:val="22"/>
        </w:rPr>
        <w:t>)</w:t>
      </w:r>
      <w:r w:rsidR="00AA4162" w:rsidRPr="00771904">
        <w:rPr>
          <w:rFonts w:cs="Arial"/>
          <w:iCs/>
          <w:szCs w:val="22"/>
        </w:rPr>
        <w:t>.</w:t>
      </w:r>
    </w:p>
    <w:p w:rsidR="0088175D" w:rsidRPr="00771904" w:rsidRDefault="0088175D" w:rsidP="008E1688">
      <w:pPr>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1688" w:rsidRPr="00771904" w:rsidTr="003070E1">
        <w:tc>
          <w:tcPr>
            <w:tcW w:w="9576" w:type="dxa"/>
          </w:tcPr>
          <w:p w:rsidR="008E1688" w:rsidRPr="00771904" w:rsidRDefault="008E1688" w:rsidP="003070E1">
            <w:pPr>
              <w:spacing w:before="240" w:after="240"/>
              <w:ind w:left="1980" w:hanging="1980"/>
              <w:rPr>
                <w:rFonts w:cs="Arial"/>
                <w:b/>
                <w:szCs w:val="22"/>
              </w:rPr>
            </w:pPr>
            <w:r w:rsidRPr="00771904">
              <w:rPr>
                <w:rFonts w:cs="Arial"/>
                <w:b/>
                <w:szCs w:val="22"/>
              </w:rPr>
              <w:t>Monitoring Priority: Early Intervention Services In Natural Environments</w:t>
            </w:r>
          </w:p>
        </w:tc>
      </w:tr>
      <w:tr w:rsidR="00856972" w:rsidRPr="00771904" w:rsidTr="003070E1">
        <w:tc>
          <w:tcPr>
            <w:tcW w:w="9576" w:type="dxa"/>
          </w:tcPr>
          <w:p w:rsidR="00856972" w:rsidRPr="00771904" w:rsidRDefault="00856972" w:rsidP="00856972">
            <w:pPr>
              <w:pStyle w:val="Header"/>
              <w:tabs>
                <w:tab w:val="clear" w:pos="4320"/>
                <w:tab w:val="clear" w:pos="8640"/>
              </w:tabs>
              <w:rPr>
                <w:rFonts w:cs="Arial"/>
                <w:b/>
                <w:szCs w:val="22"/>
              </w:rPr>
            </w:pPr>
            <w:r w:rsidRPr="00771904">
              <w:rPr>
                <w:rFonts w:cs="Arial"/>
                <w:b/>
                <w:szCs w:val="22"/>
              </w:rPr>
              <w:t>Indicator 1:</w:t>
            </w:r>
            <w:r w:rsidRPr="00771904">
              <w:rPr>
                <w:rFonts w:cs="Arial"/>
                <w:szCs w:val="22"/>
              </w:rPr>
              <w:t xml:space="preserve">  Percent of infants and toddlers with IFSPs who receive the early intervention services on their IFSPs in a timely manner. (20 U.S.C. 1416(a)(3)(A) and 1442)</w:t>
            </w:r>
          </w:p>
        </w:tc>
      </w:tr>
    </w:tbl>
    <w:p w:rsidR="008E1688" w:rsidRPr="00771904" w:rsidRDefault="008E1688" w:rsidP="008E1688">
      <w:pPr>
        <w:rPr>
          <w:rFonts w:cs="Arial"/>
          <w:b/>
          <w:szCs w:val="22"/>
        </w:rPr>
      </w:pPr>
      <w:bookmarkStart w:id="1" w:name="ind1"/>
      <w:bookmarkEnd w:id="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8E1688" w:rsidRPr="00771904" w:rsidTr="00856972">
        <w:tc>
          <w:tcPr>
            <w:tcW w:w="9558" w:type="dxa"/>
          </w:tcPr>
          <w:p w:rsidR="008E1688" w:rsidRPr="00771904" w:rsidRDefault="008E1688" w:rsidP="003070E1">
            <w:pPr>
              <w:spacing w:before="60" w:after="60"/>
              <w:rPr>
                <w:rFonts w:cs="Arial"/>
                <w:b/>
                <w:szCs w:val="22"/>
              </w:rPr>
            </w:pPr>
            <w:r w:rsidRPr="00771904">
              <w:rPr>
                <w:rFonts w:cs="Arial"/>
                <w:b/>
                <w:szCs w:val="22"/>
              </w:rPr>
              <w:t>Measurement:</w:t>
            </w:r>
          </w:p>
          <w:p w:rsidR="008E1688" w:rsidRPr="00771904" w:rsidRDefault="008E1688" w:rsidP="003070E1">
            <w:pPr>
              <w:pStyle w:val="Header"/>
              <w:tabs>
                <w:tab w:val="clear" w:pos="4320"/>
                <w:tab w:val="clear" w:pos="8640"/>
              </w:tabs>
              <w:spacing w:before="120" w:after="120"/>
              <w:ind w:left="-4"/>
              <w:rPr>
                <w:rFonts w:cs="Arial"/>
                <w:szCs w:val="22"/>
              </w:rPr>
            </w:pPr>
            <w:r w:rsidRPr="00771904">
              <w:rPr>
                <w:rFonts w:cs="Arial"/>
                <w:szCs w:val="22"/>
              </w:rPr>
              <w:t>Percent = [(# of infants and toddlers with IFSPs who receive the early intervention services on their IFSPs in a timely manner) divided by the (total # of infants and toddlers with IFSPs</w:t>
            </w:r>
            <w:r w:rsidR="00EF34BB" w:rsidRPr="00771904">
              <w:rPr>
                <w:rFonts w:cs="Arial"/>
                <w:szCs w:val="22"/>
              </w:rPr>
              <w:t xml:space="preserve"> with new services</w:t>
            </w:r>
            <w:r w:rsidRPr="00771904">
              <w:rPr>
                <w:rFonts w:cs="Arial"/>
                <w:szCs w:val="22"/>
              </w:rPr>
              <w:t>)] times 100.</w:t>
            </w:r>
          </w:p>
          <w:p w:rsidR="008E1688" w:rsidRPr="00771904" w:rsidRDefault="008E1688" w:rsidP="003070E1">
            <w:pPr>
              <w:pStyle w:val="Header"/>
              <w:tabs>
                <w:tab w:val="clear" w:pos="4320"/>
                <w:tab w:val="clear" w:pos="8640"/>
              </w:tabs>
              <w:spacing w:before="120" w:after="120"/>
              <w:ind w:left="-4"/>
              <w:rPr>
                <w:rFonts w:cs="Arial"/>
                <w:szCs w:val="22"/>
              </w:rPr>
            </w:pPr>
            <w:r w:rsidRPr="00771904">
              <w:rPr>
                <w:rFonts w:cs="Arial"/>
                <w:szCs w:val="22"/>
              </w:rPr>
              <w:t>Account for untimely receipt of services, including the reasons for delays.</w:t>
            </w:r>
          </w:p>
        </w:tc>
      </w:tr>
    </w:tbl>
    <w:p w:rsidR="008E1688" w:rsidRPr="00771904" w:rsidRDefault="008E1688" w:rsidP="008E1688">
      <w:pPr>
        <w:ind w:left="360"/>
        <w:rPr>
          <w:rFonts w:cs="Arial"/>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8E1688" w:rsidRPr="00771904" w:rsidTr="003070E1">
        <w:tc>
          <w:tcPr>
            <w:tcW w:w="1548" w:type="dxa"/>
          </w:tcPr>
          <w:p w:rsidR="008E1688" w:rsidRPr="00771904" w:rsidRDefault="008E1688" w:rsidP="003070E1">
            <w:pPr>
              <w:tabs>
                <w:tab w:val="left" w:pos="240"/>
                <w:tab w:val="center" w:pos="666"/>
              </w:tabs>
              <w:spacing w:before="240" w:after="240"/>
              <w:jc w:val="center"/>
              <w:rPr>
                <w:rFonts w:cs="Arial"/>
                <w:b/>
                <w:szCs w:val="22"/>
                <w:shd w:val="pct20" w:color="auto" w:fill="auto"/>
              </w:rPr>
            </w:pPr>
            <w:r w:rsidRPr="00771904">
              <w:rPr>
                <w:rFonts w:cs="Arial"/>
                <w:b/>
                <w:szCs w:val="22"/>
              </w:rPr>
              <w:t>FFY</w:t>
            </w:r>
          </w:p>
        </w:tc>
        <w:tc>
          <w:tcPr>
            <w:tcW w:w="8100" w:type="dxa"/>
          </w:tcPr>
          <w:p w:rsidR="008E1688" w:rsidRPr="00771904" w:rsidRDefault="008E1688" w:rsidP="003070E1">
            <w:pPr>
              <w:spacing w:before="240" w:after="240"/>
              <w:jc w:val="center"/>
              <w:rPr>
                <w:rFonts w:cs="Arial"/>
                <w:b/>
                <w:szCs w:val="22"/>
              </w:rPr>
            </w:pPr>
            <w:r w:rsidRPr="00771904">
              <w:rPr>
                <w:rFonts w:cs="Arial"/>
                <w:b/>
                <w:szCs w:val="22"/>
              </w:rPr>
              <w:t>Measurable and Rigorous Target</w:t>
            </w:r>
          </w:p>
        </w:tc>
      </w:tr>
      <w:tr w:rsidR="008E1688" w:rsidRPr="00771904" w:rsidTr="00BA64F3">
        <w:tc>
          <w:tcPr>
            <w:tcW w:w="1548" w:type="dxa"/>
          </w:tcPr>
          <w:p w:rsidR="008E1688" w:rsidRPr="00771904" w:rsidRDefault="002A6A91" w:rsidP="008B2646">
            <w:pPr>
              <w:jc w:val="center"/>
              <w:rPr>
                <w:rFonts w:cs="Arial"/>
                <w:i/>
                <w:szCs w:val="22"/>
              </w:rPr>
            </w:pPr>
            <w:r w:rsidRPr="00771904">
              <w:rPr>
                <w:rFonts w:cs="Arial"/>
                <w:i/>
                <w:szCs w:val="22"/>
              </w:rPr>
              <w:t>7/1/12-6/30/13</w:t>
            </w:r>
          </w:p>
        </w:tc>
        <w:tc>
          <w:tcPr>
            <w:tcW w:w="8100" w:type="dxa"/>
            <w:vAlign w:val="center"/>
          </w:tcPr>
          <w:p w:rsidR="008E1688" w:rsidRPr="00771904" w:rsidRDefault="008E1688" w:rsidP="00BA64F3">
            <w:pPr>
              <w:jc w:val="center"/>
              <w:rPr>
                <w:rFonts w:cs="Arial"/>
                <w:i/>
                <w:szCs w:val="22"/>
              </w:rPr>
            </w:pPr>
            <w:r w:rsidRPr="00771904">
              <w:rPr>
                <w:rFonts w:cs="Arial"/>
                <w:i/>
                <w:szCs w:val="22"/>
              </w:rPr>
              <w:t>100%</w:t>
            </w:r>
          </w:p>
        </w:tc>
      </w:tr>
    </w:tbl>
    <w:p w:rsidR="008E1688" w:rsidRPr="00771904" w:rsidRDefault="008E1688" w:rsidP="008E1688">
      <w:pPr>
        <w:spacing w:before="120" w:after="120"/>
        <w:rPr>
          <w:rFonts w:cs="Arial"/>
          <w:b/>
          <w:color w:val="000000"/>
          <w:szCs w:val="22"/>
        </w:rPr>
      </w:pPr>
      <w:r w:rsidRPr="00771904">
        <w:rPr>
          <w:rFonts w:cs="Arial"/>
          <w:b/>
          <w:color w:val="000000"/>
          <w:szCs w:val="22"/>
        </w:rPr>
        <w:t xml:space="preserve">Actual Target Data for </w:t>
      </w:r>
      <w:r w:rsidR="00CE7CD9" w:rsidRPr="00771904">
        <w:rPr>
          <w:rFonts w:cs="Arial"/>
          <w:b/>
          <w:color w:val="000000"/>
          <w:szCs w:val="22"/>
        </w:rPr>
        <w:t>FFY 2012</w:t>
      </w:r>
      <w:r w:rsidRPr="00771904">
        <w:rPr>
          <w:rFonts w:cs="Arial"/>
          <w:b/>
          <w:color w:val="000000"/>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E1688" w:rsidRPr="00771904" w:rsidTr="003070E1">
        <w:tc>
          <w:tcPr>
            <w:tcW w:w="9648" w:type="dxa"/>
          </w:tcPr>
          <w:p w:rsidR="00721058" w:rsidRPr="00771904" w:rsidRDefault="00A21FC6" w:rsidP="00DB42E2">
            <w:pPr>
              <w:spacing w:before="120" w:after="120"/>
              <w:jc w:val="center"/>
              <w:rPr>
                <w:rFonts w:cs="Arial"/>
                <w:i/>
                <w:color w:val="000000" w:themeColor="text1"/>
                <w:szCs w:val="20"/>
              </w:rPr>
            </w:pPr>
            <w:r w:rsidRPr="00771904">
              <w:rPr>
                <w:rFonts w:cs="Arial"/>
                <w:i/>
                <w:szCs w:val="22"/>
              </w:rPr>
              <w:t>98</w:t>
            </w:r>
            <w:r w:rsidR="008E1688" w:rsidRPr="00771904">
              <w:rPr>
                <w:rFonts w:cs="Arial"/>
                <w:i/>
                <w:szCs w:val="22"/>
              </w:rPr>
              <w:t>%</w:t>
            </w:r>
            <w:r w:rsidR="00EF34BB" w:rsidRPr="00771904">
              <w:rPr>
                <w:rFonts w:cs="Arial"/>
                <w:i/>
                <w:szCs w:val="22"/>
              </w:rPr>
              <w:t xml:space="preserve"> - </w:t>
            </w:r>
            <w:r w:rsidR="00DB42E2" w:rsidRPr="00771904">
              <w:rPr>
                <w:rFonts w:cs="Arial"/>
                <w:i/>
                <w:szCs w:val="22"/>
              </w:rPr>
              <w:t xml:space="preserve">Progress - </w:t>
            </w:r>
            <w:r w:rsidR="000713C9" w:rsidRPr="00771904">
              <w:rPr>
                <w:rFonts w:cs="Arial"/>
                <w:i/>
                <w:color w:val="000000" w:themeColor="text1"/>
                <w:szCs w:val="20"/>
              </w:rPr>
              <w:t>State Did Not Meet Target</w:t>
            </w:r>
          </w:p>
        </w:tc>
      </w:tr>
    </w:tbl>
    <w:p w:rsidR="008E1688" w:rsidRPr="00771904" w:rsidRDefault="008E1688" w:rsidP="008E1688">
      <w:pPr>
        <w:autoSpaceDE w:val="0"/>
        <w:autoSpaceDN w:val="0"/>
        <w:adjustRightInd w:val="0"/>
        <w:rPr>
          <w:rFonts w:eastAsia="Calibri" w:cs="Arial"/>
          <w:b/>
          <w:bCs/>
          <w:i/>
          <w:color w:val="000000"/>
          <w:szCs w:val="22"/>
        </w:rPr>
      </w:pPr>
    </w:p>
    <w:p w:rsidR="008E1688" w:rsidRPr="00771904" w:rsidRDefault="008E1688" w:rsidP="00FD7650">
      <w:pPr>
        <w:rPr>
          <w:rFonts w:cs="Arial"/>
          <w:szCs w:val="22"/>
        </w:rPr>
      </w:pPr>
      <w:r w:rsidRPr="00771904">
        <w:rPr>
          <w:rFonts w:cs="Arial"/>
          <w:szCs w:val="22"/>
        </w:rPr>
        <w:t xml:space="preserve">Using its statewide data system, Connecticut reviewed service data for ALL children with </w:t>
      </w:r>
      <w:r w:rsidR="0088175D" w:rsidRPr="00771904">
        <w:rPr>
          <w:rFonts w:cs="Arial"/>
          <w:szCs w:val="22"/>
        </w:rPr>
        <w:t>Individual</w:t>
      </w:r>
      <w:r w:rsidR="00711CD4" w:rsidRPr="00771904">
        <w:rPr>
          <w:rFonts w:cs="Arial"/>
          <w:szCs w:val="22"/>
        </w:rPr>
        <w:t>ized</w:t>
      </w:r>
      <w:r w:rsidR="0088175D" w:rsidRPr="00771904">
        <w:rPr>
          <w:rFonts w:cs="Arial"/>
          <w:szCs w:val="22"/>
        </w:rPr>
        <w:t xml:space="preserve"> Family Service Plans (</w:t>
      </w:r>
      <w:r w:rsidRPr="00771904">
        <w:rPr>
          <w:rFonts w:cs="Arial"/>
          <w:szCs w:val="22"/>
        </w:rPr>
        <w:t>IFSPs</w:t>
      </w:r>
      <w:r w:rsidR="0088175D" w:rsidRPr="00771904">
        <w:rPr>
          <w:rFonts w:cs="Arial"/>
          <w:szCs w:val="22"/>
        </w:rPr>
        <w:t>)</w:t>
      </w:r>
      <w:r w:rsidR="002A6A91" w:rsidRPr="00771904">
        <w:rPr>
          <w:rFonts w:cs="Arial"/>
          <w:szCs w:val="22"/>
        </w:rPr>
        <w:t xml:space="preserve"> on 12/1/12</w:t>
      </w:r>
      <w:r w:rsidRPr="00771904">
        <w:rPr>
          <w:rFonts w:cs="Arial"/>
          <w:szCs w:val="22"/>
        </w:rPr>
        <w:t xml:space="preserve"> that had at least one new service listed on the IFSP</w:t>
      </w:r>
      <w:r w:rsidR="002A6A91" w:rsidRPr="00771904">
        <w:rPr>
          <w:rFonts w:cs="Arial"/>
          <w:szCs w:val="22"/>
        </w:rPr>
        <w:t xml:space="preserve"> in effect on 12/1/12</w:t>
      </w:r>
      <w:r w:rsidR="0082351E" w:rsidRPr="00771904">
        <w:rPr>
          <w:rFonts w:cs="Arial"/>
          <w:szCs w:val="22"/>
        </w:rPr>
        <w:t xml:space="preserve"> (point in time)</w:t>
      </w:r>
      <w:r w:rsidRPr="00771904">
        <w:rPr>
          <w:rFonts w:cs="Arial"/>
          <w:szCs w:val="22"/>
        </w:rPr>
        <w:t xml:space="preserve">.  </w:t>
      </w:r>
      <w:r w:rsidR="0082351E" w:rsidRPr="00771904">
        <w:rPr>
          <w:rFonts w:cs="Arial"/>
          <w:szCs w:val="22"/>
        </w:rPr>
        <w:t>This</w:t>
      </w:r>
      <w:r w:rsidR="00EF34BB" w:rsidRPr="00771904">
        <w:rPr>
          <w:rFonts w:cs="Arial"/>
          <w:szCs w:val="22"/>
        </w:rPr>
        <w:t xml:space="preserve"> </w:t>
      </w:r>
      <w:r w:rsidRPr="00771904">
        <w:rPr>
          <w:rFonts w:cs="Arial"/>
          <w:szCs w:val="22"/>
        </w:rPr>
        <w:t xml:space="preserve">point </w:t>
      </w:r>
      <w:r w:rsidR="0082351E" w:rsidRPr="00771904">
        <w:rPr>
          <w:rFonts w:cs="Arial"/>
          <w:szCs w:val="22"/>
        </w:rPr>
        <w:t xml:space="preserve">in time is representative of the reporting period because it is the same date used for </w:t>
      </w:r>
      <w:r w:rsidR="00EF34BB" w:rsidRPr="00771904">
        <w:rPr>
          <w:rFonts w:cs="Arial"/>
          <w:szCs w:val="22"/>
        </w:rPr>
        <w:t>Indicators 2, 5 and 6</w:t>
      </w:r>
      <w:r w:rsidRPr="00771904">
        <w:rPr>
          <w:rFonts w:cs="Arial"/>
          <w:szCs w:val="22"/>
        </w:rPr>
        <w:t xml:space="preserve">.  All missing and late first services were identified to programs, the data </w:t>
      </w:r>
      <w:r w:rsidR="00AD2D22" w:rsidRPr="00771904">
        <w:rPr>
          <w:rFonts w:cs="Arial"/>
          <w:szCs w:val="22"/>
        </w:rPr>
        <w:t>were</w:t>
      </w:r>
      <w:r w:rsidRPr="00771904">
        <w:rPr>
          <w:rFonts w:cs="Arial"/>
          <w:szCs w:val="22"/>
        </w:rPr>
        <w:t xml:space="preserve"> verified</w:t>
      </w:r>
      <w:r w:rsidR="0088175D" w:rsidRPr="00771904">
        <w:rPr>
          <w:rFonts w:cs="Arial"/>
          <w:szCs w:val="22"/>
        </w:rPr>
        <w:t xml:space="preserve"> via email exchanges and faxes,</w:t>
      </w:r>
      <w:r w:rsidRPr="00771904">
        <w:rPr>
          <w:rFonts w:cs="Arial"/>
          <w:szCs w:val="22"/>
        </w:rPr>
        <w:t xml:space="preserve"> and </w:t>
      </w:r>
      <w:r w:rsidR="0088175D" w:rsidRPr="00771904">
        <w:rPr>
          <w:rFonts w:cs="Arial"/>
          <w:szCs w:val="22"/>
        </w:rPr>
        <w:t xml:space="preserve">once noncompliance was confirmed, letters were mailed to programs identifying the </w:t>
      </w:r>
      <w:r w:rsidRPr="00771904">
        <w:rPr>
          <w:rFonts w:cs="Arial"/>
          <w:szCs w:val="22"/>
        </w:rPr>
        <w:t>findings.</w:t>
      </w:r>
      <w:r w:rsidR="00AD2D22" w:rsidRPr="00771904">
        <w:rPr>
          <w:rFonts w:eastAsia="Calibri" w:cs="Arial"/>
          <w:b/>
          <w:bCs/>
          <w:color w:val="000000"/>
          <w:szCs w:val="22"/>
        </w:rPr>
        <w:br w:type="page"/>
      </w:r>
      <w:r w:rsidRPr="00771904">
        <w:rPr>
          <w:rFonts w:eastAsia="Calibri" w:cs="Arial"/>
          <w:b/>
          <w:bCs/>
          <w:color w:val="000000"/>
          <w:szCs w:val="22"/>
        </w:rPr>
        <w:lastRenderedPageBreak/>
        <w:t>Infants and Toddlers with IFSPs who receive Early Intervention Services in a Timely Manner:</w:t>
      </w:r>
    </w:p>
    <w:p w:rsidR="008E1688" w:rsidRPr="00771904" w:rsidRDefault="008E1688" w:rsidP="008E1688">
      <w:pPr>
        <w:rPr>
          <w:rFonts w:eastAsia="Calibri" w:cs="Arial"/>
          <w:color w:val="000000"/>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1350"/>
      </w:tblGrid>
      <w:tr w:rsidR="008E1688" w:rsidRPr="00771904" w:rsidTr="003070E1">
        <w:trPr>
          <w:trHeight w:val="575"/>
        </w:trPr>
        <w:tc>
          <w:tcPr>
            <w:tcW w:w="8298" w:type="dxa"/>
          </w:tcPr>
          <w:p w:rsidR="008E1688" w:rsidRPr="00771904" w:rsidRDefault="008E1688" w:rsidP="0082351E">
            <w:pPr>
              <w:pStyle w:val="ListParagraph"/>
              <w:numPr>
                <w:ilvl w:val="0"/>
                <w:numId w:val="8"/>
              </w:numPr>
              <w:autoSpaceDE w:val="0"/>
              <w:autoSpaceDN w:val="0"/>
              <w:adjustRightInd w:val="0"/>
              <w:spacing w:before="120" w:after="120"/>
              <w:rPr>
                <w:rFonts w:ascii="Arial" w:eastAsia="Calibri" w:hAnsi="Arial" w:cs="Arial"/>
                <w:sz w:val="22"/>
                <w:szCs w:val="22"/>
              </w:rPr>
            </w:pPr>
            <w:r w:rsidRPr="00771904">
              <w:rPr>
                <w:rFonts w:ascii="Arial" w:eastAsia="Calibri" w:hAnsi="Arial" w:cs="Arial"/>
                <w:sz w:val="22"/>
                <w:szCs w:val="22"/>
              </w:rPr>
              <w:t>Number of infants and toddlers with IFSPs who receive</w:t>
            </w:r>
            <w:r w:rsidR="00C10DA2" w:rsidRPr="00771904">
              <w:rPr>
                <w:rFonts w:ascii="Arial" w:eastAsia="Calibri" w:hAnsi="Arial" w:cs="Arial"/>
                <w:sz w:val="22"/>
                <w:szCs w:val="22"/>
              </w:rPr>
              <w:t>d</w:t>
            </w:r>
            <w:r w:rsidR="0082351E" w:rsidRPr="00771904">
              <w:rPr>
                <w:rFonts w:ascii="Arial" w:eastAsia="Calibri" w:hAnsi="Arial" w:cs="Arial"/>
                <w:sz w:val="22"/>
                <w:szCs w:val="22"/>
              </w:rPr>
              <w:t xml:space="preserve"> the </w:t>
            </w:r>
            <w:r w:rsidR="0088175D" w:rsidRPr="00771904">
              <w:rPr>
                <w:rFonts w:ascii="Arial" w:eastAsia="Calibri" w:hAnsi="Arial" w:cs="Arial"/>
                <w:sz w:val="22"/>
                <w:szCs w:val="22"/>
              </w:rPr>
              <w:t xml:space="preserve">new </w:t>
            </w:r>
            <w:r w:rsidRPr="00771904">
              <w:rPr>
                <w:rFonts w:ascii="Arial" w:eastAsia="Calibri" w:hAnsi="Arial" w:cs="Arial"/>
                <w:sz w:val="22"/>
                <w:szCs w:val="22"/>
              </w:rPr>
              <w:t>early intervention services on their IFSPs in a timely manner</w:t>
            </w:r>
          </w:p>
        </w:tc>
        <w:tc>
          <w:tcPr>
            <w:tcW w:w="1350" w:type="dxa"/>
          </w:tcPr>
          <w:p w:rsidR="008E1688" w:rsidRPr="00771904" w:rsidRDefault="00A21FC6" w:rsidP="00EB6E4C">
            <w:pPr>
              <w:spacing w:before="240" w:after="240"/>
              <w:jc w:val="center"/>
              <w:rPr>
                <w:rFonts w:cs="Arial"/>
                <w:b/>
                <w:color w:val="000000"/>
                <w:szCs w:val="22"/>
              </w:rPr>
            </w:pPr>
            <w:r w:rsidRPr="00771904">
              <w:rPr>
                <w:rFonts w:cs="Arial"/>
                <w:b/>
                <w:color w:val="000000"/>
                <w:szCs w:val="22"/>
              </w:rPr>
              <w:t>18</w:t>
            </w:r>
            <w:r w:rsidR="00EB6E4C" w:rsidRPr="00771904">
              <w:rPr>
                <w:rFonts w:cs="Arial"/>
                <w:b/>
                <w:color w:val="000000"/>
                <w:szCs w:val="22"/>
              </w:rPr>
              <w:t>94</w:t>
            </w:r>
          </w:p>
        </w:tc>
      </w:tr>
      <w:tr w:rsidR="00C10DA2" w:rsidRPr="00771904" w:rsidTr="003070E1">
        <w:tc>
          <w:tcPr>
            <w:tcW w:w="8298" w:type="dxa"/>
            <w:tcBorders>
              <w:bottom w:val="single" w:sz="4" w:space="0" w:color="auto"/>
            </w:tcBorders>
          </w:tcPr>
          <w:p w:rsidR="00C10DA2" w:rsidRPr="00771904" w:rsidRDefault="00C10DA2" w:rsidP="003A493B">
            <w:pPr>
              <w:pStyle w:val="ListParagraph"/>
              <w:numPr>
                <w:ilvl w:val="0"/>
                <w:numId w:val="8"/>
              </w:numPr>
              <w:autoSpaceDE w:val="0"/>
              <w:autoSpaceDN w:val="0"/>
              <w:adjustRightInd w:val="0"/>
              <w:spacing w:before="120" w:after="120"/>
              <w:rPr>
                <w:rFonts w:ascii="Arial" w:eastAsia="Calibri" w:hAnsi="Arial" w:cs="Arial"/>
                <w:sz w:val="22"/>
                <w:szCs w:val="22"/>
              </w:rPr>
            </w:pPr>
            <w:r w:rsidRPr="00771904">
              <w:rPr>
                <w:rFonts w:ascii="Arial" w:eastAsia="Calibri" w:hAnsi="Arial" w:cs="Arial"/>
                <w:sz w:val="22"/>
                <w:szCs w:val="22"/>
              </w:rPr>
              <w:t>Number of infants and to</w:t>
            </w:r>
            <w:r w:rsidR="0082351E" w:rsidRPr="00771904">
              <w:rPr>
                <w:rFonts w:ascii="Arial" w:eastAsia="Calibri" w:hAnsi="Arial" w:cs="Arial"/>
                <w:sz w:val="22"/>
                <w:szCs w:val="22"/>
              </w:rPr>
              <w:t>ddlers with IFSPs who received</w:t>
            </w:r>
            <w:r w:rsidRPr="00771904">
              <w:rPr>
                <w:rFonts w:ascii="Arial" w:eastAsia="Calibri" w:hAnsi="Arial" w:cs="Arial"/>
                <w:sz w:val="22"/>
                <w:szCs w:val="22"/>
              </w:rPr>
              <w:t xml:space="preserve"> </w:t>
            </w:r>
            <w:r w:rsidR="0082351E" w:rsidRPr="00771904">
              <w:rPr>
                <w:rFonts w:ascii="Arial" w:eastAsia="Calibri" w:hAnsi="Arial" w:cs="Arial"/>
                <w:sz w:val="22"/>
                <w:szCs w:val="22"/>
              </w:rPr>
              <w:t xml:space="preserve">the </w:t>
            </w:r>
            <w:r w:rsidRPr="00771904">
              <w:rPr>
                <w:rFonts w:ascii="Arial" w:eastAsia="Calibri" w:hAnsi="Arial" w:cs="Arial"/>
                <w:sz w:val="22"/>
                <w:szCs w:val="22"/>
              </w:rPr>
              <w:t>new services on their IFSPs late due to a documented exceptional family circumstance</w:t>
            </w:r>
            <w:r w:rsidR="003F6974" w:rsidRPr="00771904">
              <w:rPr>
                <w:rFonts w:ascii="Arial" w:eastAsia="Calibri" w:hAnsi="Arial" w:cs="Arial"/>
                <w:sz w:val="22"/>
                <w:szCs w:val="22"/>
              </w:rPr>
              <w:t xml:space="preserve"> (Range </w:t>
            </w:r>
            <w:r w:rsidR="003A493B" w:rsidRPr="00771904">
              <w:rPr>
                <w:rFonts w:ascii="Arial" w:eastAsia="Calibri" w:hAnsi="Arial" w:cs="Arial"/>
                <w:sz w:val="22"/>
                <w:szCs w:val="22"/>
              </w:rPr>
              <w:t xml:space="preserve">46-156 </w:t>
            </w:r>
            <w:r w:rsidR="003F6974" w:rsidRPr="00771904">
              <w:rPr>
                <w:rFonts w:ascii="Arial" w:eastAsia="Calibri" w:hAnsi="Arial" w:cs="Arial"/>
                <w:sz w:val="22"/>
                <w:szCs w:val="22"/>
              </w:rPr>
              <w:t>days)</w:t>
            </w:r>
          </w:p>
        </w:tc>
        <w:tc>
          <w:tcPr>
            <w:tcW w:w="1350" w:type="dxa"/>
            <w:tcBorders>
              <w:bottom w:val="single" w:sz="4" w:space="0" w:color="auto"/>
            </w:tcBorders>
          </w:tcPr>
          <w:p w:rsidR="00EF5E41" w:rsidRPr="00771904" w:rsidRDefault="00A21FC6" w:rsidP="001B6676">
            <w:pPr>
              <w:spacing w:before="240" w:after="240"/>
              <w:jc w:val="center"/>
              <w:rPr>
                <w:rFonts w:cs="Arial"/>
                <w:b/>
                <w:color w:val="000000"/>
                <w:szCs w:val="22"/>
              </w:rPr>
            </w:pPr>
            <w:r w:rsidRPr="00771904">
              <w:rPr>
                <w:rFonts w:cs="Arial"/>
                <w:b/>
                <w:color w:val="000000"/>
                <w:szCs w:val="22"/>
              </w:rPr>
              <w:t>1</w:t>
            </w:r>
            <w:r w:rsidR="001B6676" w:rsidRPr="00771904">
              <w:rPr>
                <w:rFonts w:cs="Arial"/>
                <w:b/>
                <w:color w:val="000000"/>
                <w:szCs w:val="22"/>
              </w:rPr>
              <w:t>22</w:t>
            </w:r>
          </w:p>
        </w:tc>
      </w:tr>
      <w:tr w:rsidR="008E1688" w:rsidRPr="00771904" w:rsidTr="003070E1">
        <w:tc>
          <w:tcPr>
            <w:tcW w:w="8298" w:type="dxa"/>
            <w:tcBorders>
              <w:bottom w:val="single" w:sz="4" w:space="0" w:color="auto"/>
            </w:tcBorders>
          </w:tcPr>
          <w:p w:rsidR="008E1688" w:rsidRPr="00771904" w:rsidRDefault="008E1688" w:rsidP="00BB59EA">
            <w:pPr>
              <w:pStyle w:val="ListParagraph"/>
              <w:numPr>
                <w:ilvl w:val="0"/>
                <w:numId w:val="8"/>
              </w:numPr>
              <w:autoSpaceDE w:val="0"/>
              <w:autoSpaceDN w:val="0"/>
              <w:adjustRightInd w:val="0"/>
              <w:spacing w:before="120" w:after="120"/>
              <w:rPr>
                <w:rFonts w:ascii="Arial" w:eastAsia="Calibri" w:hAnsi="Arial" w:cs="Arial"/>
                <w:sz w:val="22"/>
                <w:szCs w:val="22"/>
              </w:rPr>
            </w:pPr>
            <w:r w:rsidRPr="00771904">
              <w:rPr>
                <w:rFonts w:ascii="Arial" w:eastAsia="Calibri" w:hAnsi="Arial" w:cs="Arial"/>
                <w:sz w:val="22"/>
                <w:szCs w:val="22"/>
              </w:rPr>
              <w:t>Total number of infants and toddlers with IFSPs that had at least one new service.</w:t>
            </w:r>
          </w:p>
        </w:tc>
        <w:tc>
          <w:tcPr>
            <w:tcW w:w="1350" w:type="dxa"/>
            <w:tcBorders>
              <w:bottom w:val="single" w:sz="4" w:space="0" w:color="auto"/>
            </w:tcBorders>
          </w:tcPr>
          <w:p w:rsidR="008E1688" w:rsidRPr="00771904" w:rsidRDefault="00A21FC6" w:rsidP="00A21FC6">
            <w:pPr>
              <w:spacing w:before="240" w:after="240"/>
              <w:jc w:val="center"/>
              <w:rPr>
                <w:rFonts w:cs="Arial"/>
                <w:b/>
                <w:color w:val="000000"/>
                <w:szCs w:val="22"/>
              </w:rPr>
            </w:pPr>
            <w:r w:rsidRPr="00771904">
              <w:rPr>
                <w:rFonts w:cs="Arial"/>
                <w:b/>
                <w:color w:val="000000"/>
                <w:szCs w:val="22"/>
              </w:rPr>
              <w:t>2049</w:t>
            </w:r>
          </w:p>
        </w:tc>
      </w:tr>
      <w:tr w:rsidR="008E1688" w:rsidRPr="00771904" w:rsidTr="006563FF">
        <w:trPr>
          <w:trHeight w:val="530"/>
        </w:trPr>
        <w:tc>
          <w:tcPr>
            <w:tcW w:w="8298" w:type="dxa"/>
            <w:tcBorders>
              <w:top w:val="single" w:sz="4" w:space="0" w:color="auto"/>
              <w:left w:val="single" w:sz="4" w:space="0" w:color="auto"/>
              <w:bottom w:val="single" w:sz="4" w:space="0" w:color="auto"/>
              <w:right w:val="single" w:sz="4" w:space="0" w:color="auto"/>
            </w:tcBorders>
            <w:shd w:val="clear" w:color="auto" w:fill="auto"/>
          </w:tcPr>
          <w:p w:rsidR="008E1688" w:rsidRPr="00771904" w:rsidRDefault="008E1688" w:rsidP="003070E1">
            <w:pPr>
              <w:tabs>
                <w:tab w:val="left" w:pos="360"/>
              </w:tabs>
              <w:autoSpaceDE w:val="0"/>
              <w:autoSpaceDN w:val="0"/>
              <w:adjustRightInd w:val="0"/>
              <w:spacing w:before="120" w:after="120"/>
              <w:ind w:left="360"/>
              <w:rPr>
                <w:rFonts w:eastAsia="Calibri" w:cs="Arial"/>
                <w:szCs w:val="22"/>
              </w:rPr>
            </w:pPr>
            <w:r w:rsidRPr="00771904">
              <w:rPr>
                <w:rFonts w:eastAsia="Calibri" w:cs="Arial"/>
                <w:szCs w:val="22"/>
              </w:rPr>
              <w:t>Percent of infants and toddlers with IFSPs who receive the early intervention services on their IFSPs in a timely manner (Percent = [(a)</w:t>
            </w:r>
            <w:r w:rsidR="00C10DA2" w:rsidRPr="00771904">
              <w:rPr>
                <w:rFonts w:eastAsia="Calibri" w:cs="Arial"/>
                <w:szCs w:val="22"/>
              </w:rPr>
              <w:t>+(b)] divided by (c)</w:t>
            </w:r>
            <w:r w:rsidRPr="00771904">
              <w:rPr>
                <w:rFonts w:eastAsia="Calibri" w:cs="Arial"/>
                <w:szCs w:val="22"/>
              </w:rPr>
              <w:t xml:space="preserve"> times 100)</w:t>
            </w:r>
          </w:p>
        </w:tc>
        <w:tc>
          <w:tcPr>
            <w:tcW w:w="1350" w:type="dxa"/>
            <w:tcBorders>
              <w:top w:val="single" w:sz="4" w:space="0" w:color="auto"/>
              <w:left w:val="single" w:sz="4" w:space="0" w:color="auto"/>
              <w:bottom w:val="single" w:sz="4" w:space="0" w:color="auto"/>
              <w:right w:val="single" w:sz="4" w:space="0" w:color="auto"/>
            </w:tcBorders>
            <w:shd w:val="clear" w:color="auto" w:fill="A6A6A6"/>
            <w:vAlign w:val="center"/>
          </w:tcPr>
          <w:p w:rsidR="008E1688" w:rsidRPr="00771904" w:rsidRDefault="00EB6E4C" w:rsidP="006563FF">
            <w:pPr>
              <w:jc w:val="center"/>
              <w:rPr>
                <w:rFonts w:cs="Arial"/>
                <w:b/>
                <w:color w:val="000000"/>
                <w:szCs w:val="22"/>
              </w:rPr>
            </w:pPr>
            <w:r w:rsidRPr="00771904">
              <w:rPr>
                <w:rFonts w:cs="Arial"/>
                <w:b/>
                <w:color w:val="000000"/>
                <w:szCs w:val="22"/>
              </w:rPr>
              <w:t>98%</w:t>
            </w:r>
            <w:r w:rsidR="00C10DA2" w:rsidRPr="00771904">
              <w:rPr>
                <w:rFonts w:cs="Arial"/>
                <w:b/>
                <w:color w:val="000000"/>
                <w:szCs w:val="22"/>
              </w:rPr>
              <w:fldChar w:fldCharType="begin"/>
            </w:r>
            <w:r w:rsidR="00C10DA2" w:rsidRPr="00771904">
              <w:rPr>
                <w:rFonts w:cs="Arial"/>
                <w:b/>
                <w:color w:val="000000"/>
                <w:szCs w:val="22"/>
              </w:rPr>
              <w:instrText xml:space="preserve"> =(B1+B2)/B3*100 \# "0%" </w:instrText>
            </w:r>
            <w:r w:rsidR="00C10DA2" w:rsidRPr="00771904">
              <w:rPr>
                <w:rFonts w:cs="Arial"/>
                <w:b/>
                <w:color w:val="000000"/>
                <w:szCs w:val="22"/>
              </w:rPr>
              <w:fldChar w:fldCharType="end"/>
            </w:r>
          </w:p>
        </w:tc>
      </w:tr>
    </w:tbl>
    <w:p w:rsidR="008E1688" w:rsidRPr="00771904" w:rsidRDefault="008E1688" w:rsidP="008E1688">
      <w:pPr>
        <w:spacing w:before="120" w:after="120"/>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for </w:t>
      </w:r>
      <w:r w:rsidR="00CE7CD9" w:rsidRPr="00771904">
        <w:rPr>
          <w:rFonts w:cs="Arial"/>
          <w:b/>
          <w:szCs w:val="22"/>
        </w:rPr>
        <w:t>FFY 2012</w:t>
      </w:r>
      <w:r w:rsidR="00C02A8F" w:rsidRPr="00771904">
        <w:rPr>
          <w:rFonts w:cs="Arial"/>
          <w:b/>
          <w:szCs w:val="22"/>
        </w:rPr>
        <w:t xml:space="preserve"> (July 1, 2012-June 30, 2013)</w:t>
      </w:r>
      <w:r w:rsidRPr="00771904">
        <w:rPr>
          <w:rFonts w:cs="Arial"/>
          <w:b/>
          <w:szCs w:val="22"/>
        </w:rPr>
        <w:t>:</w:t>
      </w:r>
    </w:p>
    <w:p w:rsidR="001B6676" w:rsidRPr="00771904" w:rsidRDefault="008E1688" w:rsidP="00775BC4">
      <w:pPr>
        <w:rPr>
          <w:rFonts w:eastAsia="Calibri" w:cs="Arial"/>
          <w:bCs/>
          <w:szCs w:val="22"/>
        </w:rPr>
      </w:pPr>
      <w:r w:rsidRPr="00771904">
        <w:rPr>
          <w:rFonts w:eastAsia="Calibri" w:cs="Arial"/>
          <w:bCs/>
          <w:szCs w:val="22"/>
        </w:rPr>
        <w:t>On 12/1/1</w:t>
      </w:r>
      <w:r w:rsidR="002A6A91" w:rsidRPr="00771904">
        <w:rPr>
          <w:rFonts w:eastAsia="Calibri" w:cs="Arial"/>
          <w:bCs/>
          <w:szCs w:val="22"/>
        </w:rPr>
        <w:t>2</w:t>
      </w:r>
      <w:r w:rsidRPr="00771904">
        <w:rPr>
          <w:rFonts w:eastAsia="Calibri" w:cs="Arial"/>
          <w:bCs/>
          <w:szCs w:val="22"/>
        </w:rPr>
        <w:t xml:space="preserve"> there were </w:t>
      </w:r>
      <w:r w:rsidR="00482C9D" w:rsidRPr="00771904">
        <w:rPr>
          <w:rFonts w:eastAsia="Calibri" w:cs="Arial"/>
          <w:bCs/>
          <w:szCs w:val="22"/>
        </w:rPr>
        <w:t>4410</w:t>
      </w:r>
      <w:r w:rsidR="002A6A91" w:rsidRPr="00771904">
        <w:rPr>
          <w:rFonts w:eastAsia="Calibri" w:cs="Arial"/>
          <w:bCs/>
          <w:szCs w:val="22"/>
        </w:rPr>
        <w:t xml:space="preserve"> </w:t>
      </w:r>
      <w:r w:rsidRPr="00771904">
        <w:rPr>
          <w:rFonts w:eastAsia="Calibri" w:cs="Arial"/>
          <w:bCs/>
          <w:szCs w:val="22"/>
        </w:rPr>
        <w:t xml:space="preserve">children with IFSPs in Part C.  </w:t>
      </w:r>
      <w:r w:rsidR="00A21FC6" w:rsidRPr="00771904">
        <w:rPr>
          <w:rFonts w:eastAsia="Calibri" w:cs="Arial"/>
          <w:bCs/>
          <w:szCs w:val="22"/>
        </w:rPr>
        <w:t>2049</w:t>
      </w:r>
      <w:r w:rsidR="002A6A91" w:rsidRPr="00771904">
        <w:rPr>
          <w:rFonts w:eastAsia="Calibri" w:cs="Arial"/>
          <w:bCs/>
          <w:szCs w:val="22"/>
        </w:rPr>
        <w:t xml:space="preserve"> </w:t>
      </w:r>
      <w:r w:rsidRPr="00771904">
        <w:rPr>
          <w:rFonts w:eastAsia="Calibri" w:cs="Arial"/>
          <w:bCs/>
          <w:szCs w:val="22"/>
        </w:rPr>
        <w:t xml:space="preserve">of those children had at least </w:t>
      </w:r>
      <w:r w:rsidR="00B37D54" w:rsidRPr="00771904">
        <w:rPr>
          <w:rFonts w:eastAsia="Calibri" w:cs="Arial"/>
          <w:bCs/>
          <w:szCs w:val="22"/>
        </w:rPr>
        <w:t xml:space="preserve">one </w:t>
      </w:r>
      <w:r w:rsidR="007C7060" w:rsidRPr="00771904">
        <w:rPr>
          <w:rFonts w:eastAsia="Calibri" w:cs="Arial"/>
          <w:bCs/>
          <w:szCs w:val="22"/>
        </w:rPr>
        <w:t>new</w:t>
      </w:r>
      <w:r w:rsidR="00B37D54" w:rsidRPr="00771904">
        <w:rPr>
          <w:rFonts w:eastAsia="Calibri" w:cs="Arial"/>
          <w:bCs/>
          <w:szCs w:val="22"/>
        </w:rPr>
        <w:t xml:space="preserve"> service listed on the </w:t>
      </w:r>
      <w:r w:rsidRPr="00771904">
        <w:rPr>
          <w:rFonts w:eastAsia="Calibri" w:cs="Arial"/>
          <w:bCs/>
          <w:szCs w:val="22"/>
        </w:rPr>
        <w:t>IFSP</w:t>
      </w:r>
      <w:r w:rsidR="00976EA6" w:rsidRPr="00771904">
        <w:rPr>
          <w:rFonts w:eastAsia="Calibri" w:cs="Arial"/>
          <w:bCs/>
          <w:szCs w:val="22"/>
        </w:rPr>
        <w:t xml:space="preserve"> that was in effect on 12/1/1</w:t>
      </w:r>
      <w:r w:rsidR="002A6A91" w:rsidRPr="00771904">
        <w:rPr>
          <w:rFonts w:eastAsia="Calibri" w:cs="Arial"/>
          <w:bCs/>
          <w:szCs w:val="22"/>
        </w:rPr>
        <w:t>2</w:t>
      </w:r>
      <w:r w:rsidRPr="00771904">
        <w:rPr>
          <w:rFonts w:eastAsia="Calibri" w:cs="Arial"/>
          <w:bCs/>
          <w:szCs w:val="22"/>
        </w:rPr>
        <w:t xml:space="preserve">.  </w:t>
      </w:r>
      <w:r w:rsidR="00B37D54" w:rsidRPr="00771904">
        <w:rPr>
          <w:rFonts w:eastAsia="Calibri" w:cs="Arial"/>
          <w:bCs/>
          <w:szCs w:val="22"/>
        </w:rPr>
        <w:t xml:space="preserve">The families of </w:t>
      </w:r>
      <w:r w:rsidR="00A21FC6" w:rsidRPr="00771904">
        <w:rPr>
          <w:rFonts w:eastAsia="Calibri" w:cs="Arial"/>
          <w:bCs/>
          <w:szCs w:val="22"/>
        </w:rPr>
        <w:t>18</w:t>
      </w:r>
      <w:r w:rsidR="00EB6E4C" w:rsidRPr="00771904">
        <w:rPr>
          <w:rFonts w:eastAsia="Calibri" w:cs="Arial"/>
          <w:bCs/>
          <w:szCs w:val="22"/>
        </w:rPr>
        <w:t>94</w:t>
      </w:r>
      <w:r w:rsidR="002A6A91" w:rsidRPr="00771904">
        <w:rPr>
          <w:rFonts w:eastAsia="Calibri" w:cs="Arial"/>
          <w:bCs/>
          <w:szCs w:val="22"/>
        </w:rPr>
        <w:t xml:space="preserve"> </w:t>
      </w:r>
      <w:r w:rsidRPr="00771904">
        <w:rPr>
          <w:rFonts w:eastAsia="Calibri" w:cs="Arial"/>
          <w:bCs/>
          <w:szCs w:val="22"/>
        </w:rPr>
        <w:t xml:space="preserve">children received </w:t>
      </w:r>
      <w:r w:rsidR="00C10DA2" w:rsidRPr="00771904">
        <w:rPr>
          <w:rFonts w:eastAsia="Calibri" w:cs="Arial"/>
          <w:bCs/>
          <w:szCs w:val="22"/>
        </w:rPr>
        <w:t xml:space="preserve">all </w:t>
      </w:r>
      <w:r w:rsidR="00B37D54" w:rsidRPr="00771904">
        <w:rPr>
          <w:rFonts w:eastAsia="Calibri" w:cs="Arial"/>
          <w:bCs/>
          <w:szCs w:val="22"/>
        </w:rPr>
        <w:t xml:space="preserve">their </w:t>
      </w:r>
      <w:r w:rsidR="00C10DA2" w:rsidRPr="00771904">
        <w:rPr>
          <w:rFonts w:eastAsia="Calibri" w:cs="Arial"/>
          <w:bCs/>
          <w:szCs w:val="22"/>
        </w:rPr>
        <w:t xml:space="preserve">new </w:t>
      </w:r>
      <w:r w:rsidRPr="00771904">
        <w:rPr>
          <w:rFonts w:eastAsia="Calibri" w:cs="Arial"/>
          <w:bCs/>
          <w:szCs w:val="22"/>
        </w:rPr>
        <w:t xml:space="preserve">services </w:t>
      </w:r>
      <w:r w:rsidR="00C10DA2" w:rsidRPr="00771904">
        <w:rPr>
          <w:rFonts w:eastAsia="Calibri" w:cs="Arial"/>
          <w:bCs/>
          <w:szCs w:val="22"/>
        </w:rPr>
        <w:t xml:space="preserve">in a timely manner </w:t>
      </w:r>
      <w:r w:rsidRPr="00771904">
        <w:rPr>
          <w:rFonts w:eastAsia="Calibri" w:cs="Arial"/>
          <w:bCs/>
          <w:szCs w:val="22"/>
        </w:rPr>
        <w:t>(within 45 days from parent consent</w:t>
      </w:r>
      <w:r w:rsidR="00B37D54" w:rsidRPr="00771904">
        <w:rPr>
          <w:rFonts w:eastAsia="Calibri" w:cs="Arial"/>
          <w:bCs/>
          <w:szCs w:val="22"/>
        </w:rPr>
        <w:t xml:space="preserve"> on the IFSP</w:t>
      </w:r>
      <w:r w:rsidRPr="00771904">
        <w:rPr>
          <w:rFonts w:eastAsia="Calibri" w:cs="Arial"/>
          <w:bCs/>
          <w:szCs w:val="22"/>
        </w:rPr>
        <w:t xml:space="preserve">).  An additional </w:t>
      </w:r>
      <w:r w:rsidR="00A21FC6" w:rsidRPr="00771904">
        <w:rPr>
          <w:rFonts w:eastAsia="Calibri" w:cs="Arial"/>
          <w:bCs/>
          <w:szCs w:val="22"/>
        </w:rPr>
        <w:t>1</w:t>
      </w:r>
      <w:r w:rsidR="00EB6E4C" w:rsidRPr="00771904">
        <w:rPr>
          <w:rFonts w:eastAsia="Calibri" w:cs="Arial"/>
          <w:bCs/>
          <w:szCs w:val="22"/>
        </w:rPr>
        <w:t>22</w:t>
      </w:r>
      <w:r w:rsidR="002A6A91" w:rsidRPr="00771904">
        <w:rPr>
          <w:rFonts w:eastAsia="Calibri" w:cs="Arial"/>
          <w:bCs/>
          <w:szCs w:val="22"/>
        </w:rPr>
        <w:t xml:space="preserve"> </w:t>
      </w:r>
      <w:r w:rsidRPr="00771904">
        <w:rPr>
          <w:rFonts w:eastAsia="Calibri" w:cs="Arial"/>
          <w:bCs/>
          <w:szCs w:val="22"/>
        </w:rPr>
        <w:t xml:space="preserve">children received the service(s) late due to a documented exceptional family circumstance </w:t>
      </w:r>
      <w:r w:rsidR="00F8422B" w:rsidRPr="00771904">
        <w:rPr>
          <w:rFonts w:eastAsia="Calibri" w:cs="Arial"/>
          <w:bCs/>
          <w:szCs w:val="22"/>
        </w:rPr>
        <w:t xml:space="preserve">including </w:t>
      </w:r>
      <w:r w:rsidR="002A6A91" w:rsidRPr="00771904">
        <w:rPr>
          <w:rFonts w:eastAsia="Calibri" w:cs="Arial"/>
          <w:bCs/>
          <w:szCs w:val="22"/>
        </w:rPr>
        <w:t xml:space="preserve">Tropical </w:t>
      </w:r>
      <w:r w:rsidR="00482C9D" w:rsidRPr="00771904">
        <w:rPr>
          <w:rFonts w:eastAsia="Calibri" w:cs="Arial"/>
          <w:bCs/>
          <w:szCs w:val="22"/>
        </w:rPr>
        <w:t xml:space="preserve">Storm </w:t>
      </w:r>
      <w:r w:rsidR="002A6A91" w:rsidRPr="00771904">
        <w:rPr>
          <w:rFonts w:eastAsia="Calibri" w:cs="Arial"/>
          <w:bCs/>
          <w:szCs w:val="22"/>
        </w:rPr>
        <w:t>Sandy in October 2012</w:t>
      </w:r>
      <w:r w:rsidRPr="00771904">
        <w:rPr>
          <w:rFonts w:eastAsia="Calibri" w:cs="Arial"/>
          <w:bCs/>
          <w:szCs w:val="22"/>
        </w:rPr>
        <w:t>.  Th</w:t>
      </w:r>
      <w:r w:rsidR="00B37D54" w:rsidRPr="00771904">
        <w:rPr>
          <w:rFonts w:eastAsia="Calibri" w:cs="Arial"/>
          <w:bCs/>
          <w:szCs w:val="22"/>
        </w:rPr>
        <w:t>os</w:t>
      </w:r>
      <w:r w:rsidRPr="00771904">
        <w:rPr>
          <w:rFonts w:eastAsia="Calibri" w:cs="Arial"/>
          <w:bCs/>
          <w:szCs w:val="22"/>
        </w:rPr>
        <w:t xml:space="preserve">e </w:t>
      </w:r>
      <w:r w:rsidR="00A21FC6" w:rsidRPr="00771904">
        <w:rPr>
          <w:rFonts w:eastAsia="Calibri" w:cs="Arial"/>
          <w:bCs/>
          <w:szCs w:val="22"/>
        </w:rPr>
        <w:t>1</w:t>
      </w:r>
      <w:r w:rsidR="00EB6E4C" w:rsidRPr="00771904">
        <w:rPr>
          <w:rFonts w:eastAsia="Calibri" w:cs="Arial"/>
          <w:bCs/>
          <w:szCs w:val="22"/>
        </w:rPr>
        <w:t>22</w:t>
      </w:r>
      <w:r w:rsidR="002A6A91" w:rsidRPr="00771904">
        <w:rPr>
          <w:rFonts w:eastAsia="Calibri" w:cs="Arial"/>
          <w:bCs/>
          <w:szCs w:val="22"/>
        </w:rPr>
        <w:t xml:space="preserve"> </w:t>
      </w:r>
      <w:r w:rsidRPr="00771904">
        <w:rPr>
          <w:rFonts w:eastAsia="Calibri" w:cs="Arial"/>
          <w:bCs/>
          <w:szCs w:val="22"/>
        </w:rPr>
        <w:t xml:space="preserve">were added to the numerator for a total of </w:t>
      </w:r>
      <w:r w:rsidR="00A21FC6" w:rsidRPr="00771904">
        <w:rPr>
          <w:rFonts w:eastAsia="Calibri" w:cs="Arial"/>
          <w:bCs/>
          <w:szCs w:val="22"/>
        </w:rPr>
        <w:t>20</w:t>
      </w:r>
      <w:r w:rsidR="00EB6E4C" w:rsidRPr="00771904">
        <w:rPr>
          <w:rFonts w:eastAsia="Calibri" w:cs="Arial"/>
          <w:bCs/>
          <w:szCs w:val="22"/>
        </w:rPr>
        <w:t>16</w:t>
      </w:r>
      <w:r w:rsidR="002A6A91" w:rsidRPr="00771904">
        <w:rPr>
          <w:rFonts w:eastAsia="Calibri" w:cs="Arial"/>
          <w:bCs/>
          <w:szCs w:val="22"/>
        </w:rPr>
        <w:t xml:space="preserve"> </w:t>
      </w:r>
      <w:r w:rsidRPr="00771904">
        <w:rPr>
          <w:rFonts w:eastAsia="Calibri" w:cs="Arial"/>
          <w:bCs/>
          <w:szCs w:val="22"/>
        </w:rPr>
        <w:t>and kept in the denominator</w:t>
      </w:r>
      <w:r w:rsidR="00C10DA2" w:rsidRPr="00771904">
        <w:rPr>
          <w:rFonts w:eastAsia="Calibri" w:cs="Arial"/>
          <w:bCs/>
          <w:szCs w:val="22"/>
        </w:rPr>
        <w:t xml:space="preserve"> (</w:t>
      </w:r>
      <w:r w:rsidR="00A21FC6" w:rsidRPr="00771904">
        <w:rPr>
          <w:rFonts w:eastAsia="Calibri" w:cs="Arial"/>
          <w:bCs/>
          <w:szCs w:val="22"/>
        </w:rPr>
        <w:t>2049</w:t>
      </w:r>
      <w:r w:rsidR="00C10DA2" w:rsidRPr="00771904">
        <w:rPr>
          <w:rFonts w:eastAsia="Calibri" w:cs="Arial"/>
          <w:bCs/>
          <w:szCs w:val="22"/>
        </w:rPr>
        <w:t>)</w:t>
      </w:r>
      <w:r w:rsidRPr="00771904">
        <w:rPr>
          <w:rFonts w:eastAsia="Calibri" w:cs="Arial"/>
          <w:bCs/>
          <w:szCs w:val="22"/>
        </w:rPr>
        <w:t>.</w:t>
      </w:r>
      <w:r w:rsidR="001B6676" w:rsidRPr="00771904">
        <w:rPr>
          <w:rFonts w:eastAsia="Calibri" w:cs="Arial"/>
          <w:bCs/>
          <w:szCs w:val="22"/>
        </w:rPr>
        <w:t xml:space="preserve">  </w:t>
      </w:r>
    </w:p>
    <w:p w:rsidR="008E1688" w:rsidRPr="00771904" w:rsidRDefault="008E1688" w:rsidP="00775BC4">
      <w:pPr>
        <w:rPr>
          <w:rFonts w:eastAsia="Calibri" w:cs="Arial"/>
          <w:bCs/>
          <w:szCs w:val="22"/>
        </w:rPr>
      </w:pPr>
    </w:p>
    <w:p w:rsidR="008E1688" w:rsidRPr="00771904" w:rsidRDefault="008E1688" w:rsidP="006D38BF">
      <w:pPr>
        <w:pStyle w:val="StyleLeft025"/>
        <w:ind w:left="0"/>
        <w:rPr>
          <w:rFonts w:cs="Arial"/>
          <w:szCs w:val="22"/>
        </w:rPr>
      </w:pPr>
      <w:r w:rsidRPr="00771904">
        <w:rPr>
          <w:rFonts w:cs="Arial"/>
          <w:szCs w:val="22"/>
        </w:rPr>
        <w:t xml:space="preserve">There were only </w:t>
      </w:r>
      <w:r w:rsidR="00EB6E4C" w:rsidRPr="00771904">
        <w:rPr>
          <w:rFonts w:eastAsia="Calibri" w:cs="Arial"/>
          <w:bCs/>
          <w:szCs w:val="22"/>
        </w:rPr>
        <w:t>33</w:t>
      </w:r>
      <w:r w:rsidR="002A6A91" w:rsidRPr="00771904">
        <w:rPr>
          <w:rFonts w:eastAsia="Calibri" w:cs="Arial"/>
          <w:bCs/>
          <w:szCs w:val="22"/>
        </w:rPr>
        <w:t xml:space="preserve"> </w:t>
      </w:r>
      <w:r w:rsidRPr="00771904">
        <w:rPr>
          <w:rFonts w:cs="Arial"/>
          <w:szCs w:val="22"/>
        </w:rPr>
        <w:t xml:space="preserve">children with at least </w:t>
      </w:r>
      <w:r w:rsidR="00BC3F4C" w:rsidRPr="00771904">
        <w:rPr>
          <w:rFonts w:cs="Arial"/>
          <w:szCs w:val="22"/>
        </w:rPr>
        <w:t xml:space="preserve">one </w:t>
      </w:r>
      <w:r w:rsidRPr="00771904">
        <w:rPr>
          <w:rFonts w:cs="Arial"/>
          <w:szCs w:val="22"/>
        </w:rPr>
        <w:t xml:space="preserve">service </w:t>
      </w:r>
      <w:r w:rsidR="00482C9D" w:rsidRPr="00771904">
        <w:rPr>
          <w:rFonts w:cs="Arial"/>
          <w:szCs w:val="22"/>
        </w:rPr>
        <w:t xml:space="preserve">that started late </w:t>
      </w:r>
      <w:r w:rsidRPr="00771904">
        <w:rPr>
          <w:rFonts w:cs="Arial"/>
          <w:szCs w:val="22"/>
        </w:rPr>
        <w:t xml:space="preserve">not due to documented extraordinary family circumstances. </w:t>
      </w:r>
      <w:r w:rsidRPr="00771904">
        <w:rPr>
          <w:rFonts w:cs="Arial"/>
          <w:color w:val="000000" w:themeColor="text1"/>
          <w:szCs w:val="22"/>
        </w:rPr>
        <w:t>The breakout by reason with ranges in days includes:</w:t>
      </w:r>
    </w:p>
    <w:p w:rsidR="008E1688" w:rsidRPr="00771904" w:rsidRDefault="00EB6E4C" w:rsidP="00775BC4">
      <w:pPr>
        <w:pStyle w:val="StyleLeft025"/>
        <w:ind w:left="450" w:hanging="450"/>
        <w:rPr>
          <w:rFonts w:cs="Arial"/>
          <w:color w:val="000000" w:themeColor="text1"/>
          <w:szCs w:val="22"/>
        </w:rPr>
      </w:pPr>
      <w:r w:rsidRPr="00771904">
        <w:rPr>
          <w:rFonts w:eastAsia="Calibri" w:cs="Arial"/>
          <w:bCs/>
          <w:color w:val="000000" w:themeColor="text1"/>
          <w:szCs w:val="22"/>
        </w:rPr>
        <w:t>2</w:t>
      </w:r>
      <w:r w:rsidR="001B6676" w:rsidRPr="00771904">
        <w:rPr>
          <w:rFonts w:eastAsia="Calibri" w:cs="Arial"/>
          <w:bCs/>
          <w:color w:val="000000" w:themeColor="text1"/>
          <w:szCs w:val="22"/>
        </w:rPr>
        <w:t>5</w:t>
      </w:r>
      <w:r w:rsidR="008E1688" w:rsidRPr="00771904">
        <w:rPr>
          <w:rFonts w:cs="Arial"/>
          <w:color w:val="000000" w:themeColor="text1"/>
          <w:szCs w:val="22"/>
        </w:rPr>
        <w:t xml:space="preserve"> – </w:t>
      </w:r>
      <w:proofErr w:type="gramStart"/>
      <w:r w:rsidR="008E1688" w:rsidRPr="00771904">
        <w:rPr>
          <w:rFonts w:cs="Arial"/>
          <w:color w:val="000000" w:themeColor="text1"/>
          <w:szCs w:val="22"/>
        </w:rPr>
        <w:t>due</w:t>
      </w:r>
      <w:proofErr w:type="gramEnd"/>
      <w:r w:rsidR="008E1688" w:rsidRPr="00771904">
        <w:rPr>
          <w:rFonts w:cs="Arial"/>
          <w:color w:val="000000" w:themeColor="text1"/>
          <w:szCs w:val="22"/>
        </w:rPr>
        <w:t xml:space="preserve"> to program errors such as </w:t>
      </w:r>
      <w:r w:rsidR="00EF34BB" w:rsidRPr="00771904">
        <w:rPr>
          <w:rFonts w:cs="Arial"/>
          <w:color w:val="000000" w:themeColor="text1"/>
          <w:szCs w:val="22"/>
        </w:rPr>
        <w:t xml:space="preserve">not </w:t>
      </w:r>
      <w:r w:rsidR="008E1688" w:rsidRPr="00771904">
        <w:rPr>
          <w:rFonts w:cs="Arial"/>
          <w:color w:val="000000" w:themeColor="text1"/>
          <w:szCs w:val="22"/>
        </w:rPr>
        <w:t xml:space="preserve">understanding that it is 45 days from </w:t>
      </w:r>
      <w:r w:rsidR="0082351E" w:rsidRPr="00771904">
        <w:rPr>
          <w:rFonts w:cs="Arial"/>
          <w:color w:val="000000" w:themeColor="text1"/>
          <w:szCs w:val="22"/>
        </w:rPr>
        <w:t>parental</w:t>
      </w:r>
      <w:r w:rsidR="00EF34BB" w:rsidRPr="00771904">
        <w:rPr>
          <w:rFonts w:cs="Arial"/>
          <w:color w:val="000000" w:themeColor="text1"/>
          <w:szCs w:val="22"/>
        </w:rPr>
        <w:t xml:space="preserve"> consent for services to begin and not </w:t>
      </w:r>
      <w:r w:rsidR="008E1688" w:rsidRPr="00771904">
        <w:rPr>
          <w:rFonts w:cs="Arial"/>
          <w:color w:val="000000" w:themeColor="text1"/>
          <w:szCs w:val="22"/>
        </w:rPr>
        <w:t xml:space="preserve">the </w:t>
      </w:r>
      <w:r w:rsidR="0088175D" w:rsidRPr="00771904">
        <w:rPr>
          <w:rFonts w:cs="Arial"/>
          <w:color w:val="000000" w:themeColor="text1"/>
          <w:szCs w:val="22"/>
        </w:rPr>
        <w:t xml:space="preserve">projected </w:t>
      </w:r>
      <w:r w:rsidR="008E1688" w:rsidRPr="00771904">
        <w:rPr>
          <w:rFonts w:cs="Arial"/>
          <w:color w:val="000000" w:themeColor="text1"/>
          <w:szCs w:val="22"/>
        </w:rPr>
        <w:t>start date</w:t>
      </w:r>
      <w:r w:rsidR="0088175D" w:rsidRPr="00771904">
        <w:rPr>
          <w:rFonts w:cs="Arial"/>
          <w:color w:val="000000" w:themeColor="text1"/>
          <w:szCs w:val="22"/>
        </w:rPr>
        <w:t xml:space="preserve"> on the plan</w:t>
      </w:r>
      <w:r w:rsidR="008E1688" w:rsidRPr="00771904">
        <w:rPr>
          <w:rFonts w:cs="Arial"/>
          <w:color w:val="000000" w:themeColor="text1"/>
          <w:szCs w:val="22"/>
        </w:rPr>
        <w:t xml:space="preserve">, scheduling errors on the part of staff, and a lack of documentation about the reasons for the delays.  (Range </w:t>
      </w:r>
      <w:r w:rsidR="001B6676" w:rsidRPr="00771904">
        <w:rPr>
          <w:rFonts w:cs="Arial"/>
          <w:color w:val="000000" w:themeColor="text1"/>
          <w:szCs w:val="22"/>
        </w:rPr>
        <w:t>46-170</w:t>
      </w:r>
      <w:r w:rsidR="001F2FCB" w:rsidRPr="00771904">
        <w:rPr>
          <w:rFonts w:cs="Arial"/>
          <w:color w:val="000000" w:themeColor="text1"/>
          <w:szCs w:val="22"/>
        </w:rPr>
        <w:t xml:space="preserve"> </w:t>
      </w:r>
      <w:r w:rsidR="008E1688" w:rsidRPr="00771904">
        <w:rPr>
          <w:rFonts w:cs="Arial"/>
          <w:color w:val="000000" w:themeColor="text1"/>
          <w:szCs w:val="22"/>
        </w:rPr>
        <w:t xml:space="preserve">days), </w:t>
      </w:r>
    </w:p>
    <w:p w:rsidR="008E1688" w:rsidRPr="00771904" w:rsidRDefault="00EB6E4C" w:rsidP="00775BC4">
      <w:pPr>
        <w:pStyle w:val="StyleLeft025"/>
        <w:ind w:left="450" w:hanging="450"/>
        <w:rPr>
          <w:rFonts w:cs="Arial"/>
          <w:color w:val="000000" w:themeColor="text1"/>
          <w:szCs w:val="22"/>
        </w:rPr>
      </w:pPr>
      <w:r w:rsidRPr="00771904">
        <w:rPr>
          <w:rFonts w:cs="Arial"/>
          <w:color w:val="000000" w:themeColor="text1"/>
          <w:szCs w:val="22"/>
        </w:rPr>
        <w:t xml:space="preserve"> </w:t>
      </w:r>
      <w:r w:rsidR="001B6676" w:rsidRPr="00771904">
        <w:rPr>
          <w:rFonts w:cs="Arial"/>
          <w:color w:val="000000" w:themeColor="text1"/>
          <w:szCs w:val="22"/>
        </w:rPr>
        <w:t xml:space="preserve"> 8</w:t>
      </w:r>
      <w:r w:rsidR="008E1688" w:rsidRPr="00771904">
        <w:rPr>
          <w:rFonts w:cs="Arial"/>
          <w:color w:val="000000" w:themeColor="text1"/>
          <w:szCs w:val="22"/>
        </w:rPr>
        <w:t xml:space="preserve"> – </w:t>
      </w:r>
      <w:proofErr w:type="gramStart"/>
      <w:r w:rsidR="008E1688" w:rsidRPr="00771904">
        <w:rPr>
          <w:rFonts w:cs="Arial"/>
          <w:color w:val="000000" w:themeColor="text1"/>
          <w:szCs w:val="22"/>
        </w:rPr>
        <w:t>due</w:t>
      </w:r>
      <w:proofErr w:type="gramEnd"/>
      <w:r w:rsidR="008E1688" w:rsidRPr="00771904">
        <w:rPr>
          <w:rFonts w:cs="Arial"/>
          <w:color w:val="000000" w:themeColor="text1"/>
          <w:szCs w:val="22"/>
        </w:rPr>
        <w:t xml:space="preserve"> to challenges faced in obtaining the child’s primary physician’s signature on the IFSP which is required in CT before new services can begin (</w:t>
      </w:r>
      <w:r w:rsidR="00894418" w:rsidRPr="00771904">
        <w:rPr>
          <w:rFonts w:cs="Arial"/>
          <w:color w:val="000000" w:themeColor="text1"/>
          <w:szCs w:val="22"/>
        </w:rPr>
        <w:t>Range</w:t>
      </w:r>
      <w:r w:rsidR="003C0D85" w:rsidRPr="00771904">
        <w:rPr>
          <w:rFonts w:cs="Arial"/>
          <w:color w:val="000000" w:themeColor="text1"/>
          <w:szCs w:val="22"/>
        </w:rPr>
        <w:t xml:space="preserve"> </w:t>
      </w:r>
      <w:r w:rsidR="001B6676" w:rsidRPr="00771904">
        <w:rPr>
          <w:rFonts w:cs="Arial"/>
          <w:color w:val="000000" w:themeColor="text1"/>
          <w:szCs w:val="22"/>
        </w:rPr>
        <w:t>49-156</w:t>
      </w:r>
      <w:r w:rsidR="003C0D85" w:rsidRPr="00771904">
        <w:rPr>
          <w:rFonts w:cs="Arial"/>
          <w:color w:val="000000" w:themeColor="text1"/>
          <w:szCs w:val="22"/>
        </w:rPr>
        <w:t xml:space="preserve"> </w:t>
      </w:r>
      <w:r w:rsidR="008E1688" w:rsidRPr="00771904">
        <w:rPr>
          <w:rFonts w:cs="Arial"/>
          <w:color w:val="000000" w:themeColor="text1"/>
          <w:szCs w:val="22"/>
        </w:rPr>
        <w:t>days)</w:t>
      </w:r>
    </w:p>
    <w:p w:rsidR="008E1688" w:rsidRPr="00771904" w:rsidRDefault="008E1688" w:rsidP="00775BC4">
      <w:pPr>
        <w:tabs>
          <w:tab w:val="left" w:pos="1200"/>
        </w:tabs>
        <w:ind w:left="450"/>
        <w:rPr>
          <w:rFonts w:eastAsia="Calibri" w:cs="Arial"/>
          <w:bCs/>
          <w:color w:val="000000" w:themeColor="text1"/>
          <w:szCs w:val="22"/>
        </w:rPr>
      </w:pPr>
    </w:p>
    <w:p w:rsidR="004E51A2" w:rsidRPr="00771904" w:rsidRDefault="004E51A2" w:rsidP="00BC3F4C">
      <w:pPr>
        <w:rPr>
          <w:rFonts w:eastAsia="Calibri" w:cs="Arial"/>
          <w:bCs/>
          <w:szCs w:val="22"/>
        </w:rPr>
      </w:pPr>
    </w:p>
    <w:p w:rsidR="00BC3F4C" w:rsidRPr="00771904" w:rsidRDefault="00BC3F4C" w:rsidP="00BC3F4C">
      <w:pPr>
        <w:rPr>
          <w:rFonts w:eastAsia="Calibri" w:cs="Arial"/>
          <w:bCs/>
          <w:szCs w:val="22"/>
        </w:rPr>
      </w:pPr>
      <w:r w:rsidRPr="00771904">
        <w:rPr>
          <w:rFonts w:eastAsia="Calibri" w:cs="Arial"/>
          <w:bCs/>
          <w:szCs w:val="22"/>
        </w:rPr>
        <w:t>While Connecticut did not reach its target</w:t>
      </w:r>
      <w:r w:rsidR="0082351E" w:rsidRPr="00771904">
        <w:rPr>
          <w:rFonts w:eastAsia="Calibri" w:cs="Arial"/>
          <w:bCs/>
          <w:szCs w:val="22"/>
        </w:rPr>
        <w:t>,</w:t>
      </w:r>
      <w:r w:rsidRPr="00771904">
        <w:rPr>
          <w:rFonts w:eastAsia="Calibri" w:cs="Arial"/>
          <w:bCs/>
          <w:szCs w:val="22"/>
        </w:rPr>
        <w:t xml:space="preserve"> </w:t>
      </w:r>
      <w:r w:rsidR="00192829" w:rsidRPr="00771904">
        <w:rPr>
          <w:rFonts w:eastAsia="Calibri" w:cs="Arial"/>
          <w:bCs/>
          <w:szCs w:val="22"/>
        </w:rPr>
        <w:t>the State</w:t>
      </w:r>
      <w:r w:rsidRPr="00771904">
        <w:rPr>
          <w:rFonts w:eastAsia="Calibri" w:cs="Arial"/>
          <w:bCs/>
          <w:szCs w:val="22"/>
        </w:rPr>
        <w:t xml:space="preserve"> experienced progress (1%) </w:t>
      </w:r>
      <w:r w:rsidR="00EF34BB" w:rsidRPr="00771904">
        <w:rPr>
          <w:rFonts w:eastAsia="Calibri" w:cs="Arial"/>
          <w:bCs/>
          <w:szCs w:val="22"/>
        </w:rPr>
        <w:t xml:space="preserve">since FFY11 </w:t>
      </w:r>
      <w:r w:rsidRPr="00771904">
        <w:rPr>
          <w:rFonts w:eastAsia="Calibri" w:cs="Arial"/>
          <w:bCs/>
          <w:szCs w:val="22"/>
        </w:rPr>
        <w:t>and</w:t>
      </w:r>
      <w:r w:rsidR="0082351E" w:rsidRPr="00771904">
        <w:rPr>
          <w:rFonts w:eastAsia="Calibri" w:cs="Arial"/>
          <w:bCs/>
          <w:szCs w:val="22"/>
        </w:rPr>
        <w:t xml:space="preserve"> </w:t>
      </w:r>
      <w:r w:rsidR="00192829" w:rsidRPr="00771904">
        <w:rPr>
          <w:rFonts w:eastAsia="Calibri" w:cs="Arial"/>
          <w:bCs/>
          <w:szCs w:val="22"/>
        </w:rPr>
        <w:t>the State</w:t>
      </w:r>
      <w:r w:rsidRPr="00771904">
        <w:rPr>
          <w:rFonts w:eastAsia="Calibri" w:cs="Arial"/>
          <w:bCs/>
          <w:szCs w:val="22"/>
        </w:rPr>
        <w:t xml:space="preserve"> continues to maintain a high level of compliance since the ‘05-‘06 year (baseline 97%), the ‘06-‘07 year (97%), the ‘07-‘08 year (98%), the ‘08-‘09 year (99%),’09-’10 year (99%), the ’10-’11 year (99%) and the ‘11-’12 year (97%).</w:t>
      </w:r>
    </w:p>
    <w:p w:rsidR="00BC3F4C" w:rsidRPr="00771904" w:rsidRDefault="00BC3F4C" w:rsidP="000713C9">
      <w:pPr>
        <w:rPr>
          <w:rFonts w:cs="Arial"/>
          <w:szCs w:val="22"/>
        </w:rPr>
      </w:pPr>
    </w:p>
    <w:p w:rsidR="00A21FC6" w:rsidRPr="00771904" w:rsidRDefault="00A21FC6" w:rsidP="000713C9">
      <w:pPr>
        <w:rPr>
          <w:rFonts w:cs="Arial"/>
          <w:szCs w:val="22"/>
        </w:rPr>
      </w:pPr>
      <w:r w:rsidRPr="00771904">
        <w:rPr>
          <w:rFonts w:cs="Arial"/>
          <w:szCs w:val="22"/>
        </w:rPr>
        <w:t xml:space="preserve">Pursuant to OSEP Memo </w:t>
      </w:r>
      <w:r w:rsidR="009C1E7C" w:rsidRPr="00771904">
        <w:rPr>
          <w:rFonts w:cs="Arial"/>
          <w:szCs w:val="22"/>
        </w:rPr>
        <w:t>14-3</w:t>
      </w:r>
      <w:r w:rsidRPr="00771904">
        <w:rPr>
          <w:rFonts w:cs="Arial"/>
          <w:szCs w:val="22"/>
        </w:rPr>
        <w:t xml:space="preserve">, Connecticut is not required to report on progress/slippage or improvement activities for this Indicator because </w:t>
      </w:r>
      <w:r w:rsidR="00192829" w:rsidRPr="00771904">
        <w:rPr>
          <w:rFonts w:cs="Arial"/>
          <w:szCs w:val="22"/>
        </w:rPr>
        <w:t>the State</w:t>
      </w:r>
      <w:r w:rsidRPr="00771904">
        <w:rPr>
          <w:rFonts w:cs="Arial"/>
          <w:szCs w:val="22"/>
        </w:rPr>
        <w:t xml:space="preserve"> has made progress.</w:t>
      </w:r>
    </w:p>
    <w:p w:rsidR="001B6676" w:rsidRPr="00771904" w:rsidRDefault="001B6676">
      <w:pPr>
        <w:rPr>
          <w:rFonts w:eastAsia="Calibri" w:cs="Arial"/>
          <w:bCs/>
          <w:szCs w:val="22"/>
        </w:rPr>
      </w:pPr>
    </w:p>
    <w:p w:rsidR="004E51A2" w:rsidRPr="00771904" w:rsidRDefault="004E51A2" w:rsidP="008E1688">
      <w:pPr>
        <w:rPr>
          <w:rFonts w:eastAsia="Calibri" w:cs="Arial"/>
          <w:b/>
          <w:bCs/>
          <w:szCs w:val="22"/>
        </w:rPr>
      </w:pPr>
    </w:p>
    <w:p w:rsidR="008E1688" w:rsidRPr="00771904" w:rsidRDefault="003C0D85" w:rsidP="008E1688">
      <w:pPr>
        <w:rPr>
          <w:rFonts w:cs="Arial"/>
          <w:b/>
          <w:szCs w:val="22"/>
        </w:rPr>
      </w:pPr>
      <w:r w:rsidRPr="00771904">
        <w:rPr>
          <w:rFonts w:eastAsia="Calibri" w:cs="Arial"/>
          <w:b/>
          <w:bCs/>
          <w:szCs w:val="22"/>
        </w:rPr>
        <w:t xml:space="preserve">Correction of </w:t>
      </w:r>
      <w:r w:rsidR="00CE7CD9" w:rsidRPr="00771904">
        <w:rPr>
          <w:rFonts w:eastAsia="Calibri" w:cs="Arial"/>
          <w:b/>
          <w:bCs/>
          <w:szCs w:val="22"/>
        </w:rPr>
        <w:t xml:space="preserve">FFY11 </w:t>
      </w:r>
      <w:r w:rsidR="00C02A8F" w:rsidRPr="00771904">
        <w:rPr>
          <w:rFonts w:cs="Arial"/>
          <w:b/>
          <w:szCs w:val="22"/>
        </w:rPr>
        <w:t xml:space="preserve">(July 1, 2011-June 30, 2012) </w:t>
      </w:r>
      <w:r w:rsidRPr="00771904">
        <w:rPr>
          <w:rFonts w:eastAsia="Calibri" w:cs="Arial"/>
          <w:b/>
          <w:bCs/>
          <w:szCs w:val="22"/>
        </w:rPr>
        <w:t>Findings</w:t>
      </w:r>
      <w:r w:rsidR="008E1688" w:rsidRPr="00771904">
        <w:rPr>
          <w:rFonts w:eastAsia="Calibri" w:cs="Arial"/>
          <w:b/>
          <w:bCs/>
          <w:szCs w:val="22"/>
        </w:rPr>
        <w:t xml:space="preserve"> of Noncompliance </w:t>
      </w:r>
      <w:r w:rsidR="008E1688" w:rsidRPr="00771904">
        <w:rPr>
          <w:rFonts w:cs="Arial"/>
          <w:b/>
          <w:szCs w:val="22"/>
        </w:rPr>
        <w:t>(if State reported less than 100% compliance):</w:t>
      </w:r>
    </w:p>
    <w:p w:rsidR="00CB08E2" w:rsidRPr="00771904" w:rsidRDefault="00CB08E2" w:rsidP="008E1688">
      <w:pPr>
        <w:rPr>
          <w:rFonts w:cs="Arial"/>
          <w:szCs w:val="22"/>
        </w:rPr>
      </w:pPr>
    </w:p>
    <w:p w:rsidR="008E1688" w:rsidRPr="00771904" w:rsidRDefault="008E1688" w:rsidP="008E1688">
      <w:pPr>
        <w:rPr>
          <w:rFonts w:cs="Arial"/>
          <w:szCs w:val="22"/>
        </w:rPr>
      </w:pPr>
      <w:r w:rsidRPr="00771904">
        <w:rPr>
          <w:rFonts w:cs="Arial"/>
          <w:szCs w:val="22"/>
        </w:rPr>
        <w:t xml:space="preserve">Level of compliance (actual target data) </w:t>
      </w:r>
      <w:r w:rsidR="00192829" w:rsidRPr="00771904">
        <w:rPr>
          <w:rFonts w:cs="Arial"/>
          <w:szCs w:val="22"/>
        </w:rPr>
        <w:t>the State</w:t>
      </w:r>
      <w:r w:rsidRPr="00771904">
        <w:rPr>
          <w:rFonts w:cs="Arial"/>
          <w:szCs w:val="22"/>
        </w:rPr>
        <w:t xml:space="preserve"> reported for </w:t>
      </w:r>
      <w:r w:rsidR="006563FF" w:rsidRPr="00771904">
        <w:rPr>
          <w:rFonts w:eastAsia="Calibri" w:cs="Arial"/>
          <w:szCs w:val="22"/>
        </w:rPr>
        <w:t>‘</w:t>
      </w:r>
      <w:r w:rsidR="003C0D85" w:rsidRPr="00771904">
        <w:rPr>
          <w:rFonts w:eastAsia="Calibri" w:cs="Arial"/>
          <w:szCs w:val="22"/>
        </w:rPr>
        <w:t>11</w:t>
      </w:r>
      <w:r w:rsidR="006563FF" w:rsidRPr="00771904">
        <w:rPr>
          <w:rFonts w:eastAsia="Calibri" w:cs="Arial"/>
          <w:szCs w:val="22"/>
        </w:rPr>
        <w:t>-’</w:t>
      </w:r>
      <w:r w:rsidR="003C0D85" w:rsidRPr="00771904">
        <w:rPr>
          <w:rFonts w:eastAsia="Calibri" w:cs="Arial"/>
          <w:szCs w:val="22"/>
        </w:rPr>
        <w:t>12</w:t>
      </w:r>
      <w:r w:rsidR="006563FF" w:rsidRPr="00771904">
        <w:rPr>
          <w:rFonts w:eastAsia="Calibri" w:cs="Arial"/>
          <w:szCs w:val="22"/>
        </w:rPr>
        <w:t xml:space="preserve"> </w:t>
      </w:r>
      <w:r w:rsidRPr="00771904">
        <w:rPr>
          <w:rFonts w:cs="Arial"/>
          <w:szCs w:val="22"/>
        </w:rPr>
        <w:t>for this indicator:   _</w:t>
      </w:r>
      <w:r w:rsidR="003C0D85" w:rsidRPr="00771904">
        <w:rPr>
          <w:rFonts w:cs="Arial"/>
          <w:b/>
          <w:szCs w:val="22"/>
          <w:u w:val="single"/>
        </w:rPr>
        <w:t>97</w:t>
      </w:r>
      <w:r w:rsidRPr="00771904">
        <w:rPr>
          <w:rFonts w:cs="Arial"/>
          <w:b/>
          <w:szCs w:val="22"/>
          <w:u w:val="single"/>
        </w:rPr>
        <w:t>%</w:t>
      </w:r>
      <w:r w:rsidRPr="00771904">
        <w:rPr>
          <w:rFonts w:cs="Arial"/>
          <w:szCs w:val="22"/>
        </w:rPr>
        <w:t xml:space="preserve">  </w:t>
      </w:r>
    </w:p>
    <w:p w:rsidR="006D38BF" w:rsidRPr="00771904" w:rsidRDefault="006D38BF" w:rsidP="00CF5E6F">
      <w:pPr>
        <w:rPr>
          <w:rFonts w:cs="Arial"/>
          <w:szCs w:val="22"/>
        </w:rPr>
      </w:pPr>
    </w:p>
    <w:p w:rsidR="00CF5E6F" w:rsidRPr="00771904" w:rsidRDefault="00CF5E6F" w:rsidP="00CF5E6F">
      <w:pPr>
        <w:rPr>
          <w:rFonts w:cs="Arial"/>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1368"/>
      </w:tblGrid>
      <w:tr w:rsidR="00236ABD" w:rsidRPr="00771904" w:rsidTr="00D62383">
        <w:trPr>
          <w:trHeight w:val="305"/>
        </w:trPr>
        <w:tc>
          <w:tcPr>
            <w:tcW w:w="8190" w:type="dxa"/>
          </w:tcPr>
          <w:p w:rsidR="008E1688" w:rsidRPr="00771904" w:rsidRDefault="008E1688" w:rsidP="00D62383">
            <w:pPr>
              <w:numPr>
                <w:ilvl w:val="0"/>
                <w:numId w:val="9"/>
              </w:numPr>
              <w:rPr>
                <w:rFonts w:cs="Arial"/>
                <w:bCs/>
                <w:szCs w:val="22"/>
              </w:rPr>
            </w:pPr>
            <w:r w:rsidRPr="00771904">
              <w:rPr>
                <w:rFonts w:eastAsia="Calibri" w:cs="Arial"/>
                <w:szCs w:val="22"/>
              </w:rPr>
              <w:t xml:space="preserve">Number of findings of noncompliance </w:t>
            </w:r>
            <w:r w:rsidR="00192829" w:rsidRPr="00771904">
              <w:rPr>
                <w:rFonts w:eastAsia="Calibri" w:cs="Arial"/>
                <w:szCs w:val="22"/>
              </w:rPr>
              <w:t>the State</w:t>
            </w:r>
            <w:r w:rsidRPr="00771904">
              <w:rPr>
                <w:rFonts w:eastAsia="Calibri" w:cs="Arial"/>
                <w:szCs w:val="22"/>
              </w:rPr>
              <w:t xml:space="preserve"> made during </w:t>
            </w:r>
            <w:r w:rsidR="00625B0E" w:rsidRPr="00771904">
              <w:rPr>
                <w:rFonts w:eastAsia="Calibri" w:cs="Arial"/>
                <w:szCs w:val="22"/>
              </w:rPr>
              <w:t>FFY</w:t>
            </w:r>
            <w:r w:rsidR="000713C9" w:rsidRPr="00771904">
              <w:rPr>
                <w:rFonts w:eastAsia="Calibri" w:cs="Arial"/>
                <w:szCs w:val="22"/>
              </w:rPr>
              <w:t xml:space="preserve">11 </w:t>
            </w:r>
            <w:r w:rsidRPr="00771904">
              <w:rPr>
                <w:rFonts w:eastAsia="Calibri" w:cs="Arial"/>
                <w:szCs w:val="22"/>
              </w:rPr>
              <w:t>(the period from July 1, 20</w:t>
            </w:r>
            <w:r w:rsidR="003C0D85" w:rsidRPr="00771904">
              <w:rPr>
                <w:rFonts w:eastAsia="Calibri" w:cs="Arial"/>
                <w:szCs w:val="22"/>
              </w:rPr>
              <w:t>11, through June 30, 2012</w:t>
            </w:r>
            <w:r w:rsidRPr="00771904">
              <w:rPr>
                <w:rFonts w:eastAsia="Calibri" w:cs="Arial"/>
                <w:szCs w:val="22"/>
              </w:rPr>
              <w:t xml:space="preserve">)   </w:t>
            </w:r>
          </w:p>
        </w:tc>
        <w:tc>
          <w:tcPr>
            <w:tcW w:w="1368" w:type="dxa"/>
            <w:vAlign w:val="center"/>
          </w:tcPr>
          <w:p w:rsidR="008E1688" w:rsidRPr="00771904" w:rsidRDefault="00FA29A5" w:rsidP="00D62383">
            <w:pPr>
              <w:jc w:val="center"/>
              <w:rPr>
                <w:rFonts w:eastAsia="Calibri" w:cs="Arial"/>
                <w:b/>
                <w:bCs/>
                <w:szCs w:val="22"/>
              </w:rPr>
            </w:pPr>
            <w:r w:rsidRPr="00771904">
              <w:rPr>
                <w:rFonts w:eastAsia="Calibri" w:cs="Arial"/>
                <w:b/>
                <w:bCs/>
                <w:szCs w:val="22"/>
              </w:rPr>
              <w:t>0</w:t>
            </w:r>
          </w:p>
        </w:tc>
      </w:tr>
      <w:tr w:rsidR="00236ABD" w:rsidRPr="00771904" w:rsidTr="003070E1">
        <w:tc>
          <w:tcPr>
            <w:tcW w:w="8190" w:type="dxa"/>
          </w:tcPr>
          <w:p w:rsidR="008E1688" w:rsidRPr="00771904" w:rsidRDefault="008E1688" w:rsidP="00D62383">
            <w:pPr>
              <w:numPr>
                <w:ilvl w:val="0"/>
                <w:numId w:val="9"/>
              </w:numPr>
              <w:rPr>
                <w:rFonts w:cs="Arial"/>
                <w:bCs/>
                <w:szCs w:val="22"/>
              </w:rPr>
            </w:pPr>
            <w:r w:rsidRPr="00771904">
              <w:rPr>
                <w:rFonts w:eastAsia="Calibri" w:cs="Arial"/>
                <w:szCs w:val="22"/>
              </w:rPr>
              <w:t xml:space="preserve">Number of </w:t>
            </w:r>
            <w:r w:rsidR="003C0D85" w:rsidRPr="00771904">
              <w:rPr>
                <w:rFonts w:eastAsia="Calibri" w:cs="Arial"/>
                <w:szCs w:val="22"/>
              </w:rPr>
              <w:t>‘11</w:t>
            </w:r>
            <w:r w:rsidR="00880376" w:rsidRPr="00771904">
              <w:rPr>
                <w:rFonts w:eastAsia="Calibri" w:cs="Arial"/>
                <w:szCs w:val="22"/>
              </w:rPr>
              <w:t>-</w:t>
            </w:r>
            <w:r w:rsidR="003C0D85" w:rsidRPr="00771904">
              <w:rPr>
                <w:rFonts w:eastAsia="Calibri" w:cs="Arial"/>
                <w:szCs w:val="22"/>
              </w:rPr>
              <w:t>‘12</w:t>
            </w:r>
            <w:r w:rsidR="006563FF" w:rsidRPr="00771904">
              <w:rPr>
                <w:rFonts w:eastAsia="Calibri" w:cs="Arial"/>
                <w:szCs w:val="22"/>
              </w:rPr>
              <w:t xml:space="preserve"> </w:t>
            </w:r>
            <w:r w:rsidRPr="00771904">
              <w:rPr>
                <w:rFonts w:eastAsia="Calibri" w:cs="Arial"/>
                <w:szCs w:val="22"/>
              </w:rPr>
              <w:t xml:space="preserve">findings </w:t>
            </w:r>
            <w:r w:rsidR="00192829" w:rsidRPr="00771904">
              <w:rPr>
                <w:rFonts w:eastAsia="Calibri" w:cs="Arial"/>
                <w:szCs w:val="22"/>
              </w:rPr>
              <w:t>the State</w:t>
            </w:r>
            <w:r w:rsidRPr="00771904">
              <w:rPr>
                <w:rFonts w:eastAsia="Calibri" w:cs="Arial"/>
                <w:szCs w:val="22"/>
              </w:rPr>
              <w:t xml:space="preserve"> verified as timely corrected (verified as corrected within one year from the date of notification to the EIS program of the finding)   </w:t>
            </w:r>
          </w:p>
        </w:tc>
        <w:tc>
          <w:tcPr>
            <w:tcW w:w="1368" w:type="dxa"/>
            <w:tcBorders>
              <w:bottom w:val="single" w:sz="4" w:space="0" w:color="000000"/>
            </w:tcBorders>
            <w:vAlign w:val="center"/>
          </w:tcPr>
          <w:p w:rsidR="008E1688" w:rsidRPr="00771904" w:rsidRDefault="00FA29A5" w:rsidP="00D62383">
            <w:pPr>
              <w:jc w:val="center"/>
              <w:rPr>
                <w:rFonts w:eastAsia="Calibri" w:cs="Arial"/>
                <w:b/>
                <w:bCs/>
                <w:szCs w:val="22"/>
              </w:rPr>
            </w:pPr>
            <w:r w:rsidRPr="00771904">
              <w:rPr>
                <w:rFonts w:eastAsia="Calibri" w:cs="Arial"/>
                <w:b/>
                <w:bCs/>
                <w:szCs w:val="22"/>
              </w:rPr>
              <w:t>0</w:t>
            </w:r>
          </w:p>
        </w:tc>
      </w:tr>
      <w:tr w:rsidR="00236ABD" w:rsidRPr="00771904" w:rsidTr="003070E1">
        <w:tc>
          <w:tcPr>
            <w:tcW w:w="8190" w:type="dxa"/>
            <w:tcBorders>
              <w:bottom w:val="single" w:sz="4" w:space="0" w:color="000000"/>
            </w:tcBorders>
          </w:tcPr>
          <w:p w:rsidR="008E1688" w:rsidRPr="00771904" w:rsidRDefault="008E1688" w:rsidP="00D62383">
            <w:pPr>
              <w:numPr>
                <w:ilvl w:val="0"/>
                <w:numId w:val="9"/>
              </w:numPr>
              <w:rPr>
                <w:rFonts w:eastAsia="Calibri" w:cs="Arial"/>
                <w:bCs/>
                <w:szCs w:val="22"/>
              </w:rPr>
            </w:pPr>
            <w:r w:rsidRPr="00771904">
              <w:rPr>
                <w:rFonts w:eastAsia="Calibri" w:cs="Arial"/>
                <w:szCs w:val="22"/>
              </w:rPr>
              <w:t xml:space="preserve">Number of </w:t>
            </w:r>
            <w:r w:rsidR="006563FF" w:rsidRPr="00771904">
              <w:rPr>
                <w:rFonts w:eastAsia="Calibri" w:cs="Arial"/>
                <w:szCs w:val="22"/>
              </w:rPr>
              <w:t>‘</w:t>
            </w:r>
            <w:r w:rsidR="001F2FCB" w:rsidRPr="00771904">
              <w:rPr>
                <w:rFonts w:eastAsia="Calibri" w:cs="Arial"/>
                <w:szCs w:val="22"/>
              </w:rPr>
              <w:t>1</w:t>
            </w:r>
            <w:r w:rsidR="003C0D85" w:rsidRPr="00771904">
              <w:rPr>
                <w:rFonts w:eastAsia="Calibri" w:cs="Arial"/>
                <w:szCs w:val="22"/>
              </w:rPr>
              <w:t>1</w:t>
            </w:r>
            <w:r w:rsidR="006563FF" w:rsidRPr="00771904">
              <w:rPr>
                <w:rFonts w:eastAsia="Calibri" w:cs="Arial"/>
                <w:szCs w:val="22"/>
              </w:rPr>
              <w:t>-</w:t>
            </w:r>
            <w:r w:rsidR="00880376" w:rsidRPr="00771904">
              <w:rPr>
                <w:rFonts w:eastAsia="Calibri" w:cs="Arial"/>
                <w:szCs w:val="22"/>
              </w:rPr>
              <w:t>‘</w:t>
            </w:r>
            <w:r w:rsidR="003C0D85" w:rsidRPr="00771904">
              <w:rPr>
                <w:rFonts w:eastAsia="Calibri" w:cs="Arial"/>
                <w:szCs w:val="22"/>
              </w:rPr>
              <w:t>12</w:t>
            </w:r>
            <w:r w:rsidR="006563FF" w:rsidRPr="00771904">
              <w:rPr>
                <w:rFonts w:eastAsia="Calibri" w:cs="Arial"/>
                <w:szCs w:val="22"/>
              </w:rPr>
              <w:t xml:space="preserve"> </w:t>
            </w:r>
            <w:r w:rsidRPr="00771904">
              <w:rPr>
                <w:rFonts w:eastAsia="Calibri" w:cs="Arial"/>
                <w:szCs w:val="22"/>
              </w:rPr>
              <w:t xml:space="preserve">findings </w:t>
            </w:r>
            <w:r w:rsidRPr="00771904">
              <w:rPr>
                <w:rFonts w:eastAsia="Calibri" w:cs="Arial"/>
                <w:szCs w:val="22"/>
                <w:u w:val="single"/>
              </w:rPr>
              <w:t>not</w:t>
            </w:r>
            <w:r w:rsidRPr="00771904">
              <w:rPr>
                <w:rFonts w:eastAsia="Calibri" w:cs="Arial"/>
                <w:szCs w:val="22"/>
              </w:rPr>
              <w:t xml:space="preserve"> verified as corrected within one year [(1) minus (2)]</w:t>
            </w:r>
          </w:p>
        </w:tc>
        <w:tc>
          <w:tcPr>
            <w:tcW w:w="1368" w:type="dxa"/>
            <w:tcBorders>
              <w:bottom w:val="single" w:sz="4" w:space="0" w:color="000000"/>
            </w:tcBorders>
            <w:shd w:val="clear" w:color="auto" w:fill="A6A6A6"/>
            <w:vAlign w:val="center"/>
          </w:tcPr>
          <w:p w:rsidR="008E1688" w:rsidRPr="00771904" w:rsidRDefault="00D56C96" w:rsidP="00D62383">
            <w:pPr>
              <w:jc w:val="center"/>
              <w:rPr>
                <w:rFonts w:eastAsia="Calibri" w:cs="Arial"/>
                <w:b/>
                <w:bCs/>
                <w:szCs w:val="22"/>
              </w:rPr>
            </w:pPr>
            <w:r w:rsidRPr="00771904">
              <w:rPr>
                <w:rFonts w:eastAsia="Calibri" w:cs="Arial"/>
                <w:b/>
                <w:bCs/>
                <w:szCs w:val="22"/>
              </w:rPr>
              <w:t>0</w:t>
            </w:r>
          </w:p>
        </w:tc>
      </w:tr>
    </w:tbl>
    <w:p w:rsidR="00686315" w:rsidRPr="00771904" w:rsidRDefault="00686315" w:rsidP="008E1688">
      <w:pPr>
        <w:rPr>
          <w:rFonts w:cs="Arial"/>
          <w:b/>
          <w:szCs w:val="22"/>
        </w:rPr>
      </w:pPr>
    </w:p>
    <w:p w:rsidR="00686315" w:rsidRPr="00771904" w:rsidRDefault="00711CD4" w:rsidP="00686315">
      <w:pPr>
        <w:pStyle w:val="StyleLeft025"/>
        <w:ind w:left="0" w:right="720"/>
        <w:rPr>
          <w:rFonts w:cs="Arial"/>
          <w:szCs w:val="22"/>
        </w:rPr>
      </w:pPr>
      <w:r w:rsidRPr="00771904">
        <w:rPr>
          <w:rFonts w:cs="Arial"/>
          <w:szCs w:val="22"/>
        </w:rPr>
        <w:t xml:space="preserve">Connecticut was engaged in reviewing </w:t>
      </w:r>
      <w:r w:rsidR="00686315" w:rsidRPr="00771904">
        <w:rPr>
          <w:rFonts w:cs="Arial"/>
          <w:szCs w:val="22"/>
        </w:rPr>
        <w:t xml:space="preserve">three statewide RFPs </w:t>
      </w:r>
      <w:r w:rsidR="00657B57" w:rsidRPr="00771904">
        <w:rPr>
          <w:rFonts w:cs="Arial"/>
          <w:szCs w:val="22"/>
        </w:rPr>
        <w:t xml:space="preserve">and </w:t>
      </w:r>
      <w:r w:rsidR="00686315" w:rsidRPr="00771904">
        <w:rPr>
          <w:rFonts w:cs="Arial"/>
          <w:szCs w:val="22"/>
        </w:rPr>
        <w:t xml:space="preserve">establishing new contracts for </w:t>
      </w:r>
      <w:r w:rsidR="00C47124" w:rsidRPr="00771904">
        <w:rPr>
          <w:rFonts w:cs="Arial"/>
          <w:szCs w:val="22"/>
        </w:rPr>
        <w:t xml:space="preserve">all Birth to Three </w:t>
      </w:r>
      <w:r w:rsidR="00686315" w:rsidRPr="00771904">
        <w:rPr>
          <w:rFonts w:cs="Arial"/>
          <w:szCs w:val="22"/>
        </w:rPr>
        <w:t>program</w:t>
      </w:r>
      <w:r w:rsidR="00C47124" w:rsidRPr="00771904">
        <w:rPr>
          <w:rFonts w:cs="Arial"/>
          <w:szCs w:val="22"/>
        </w:rPr>
        <w:t>s</w:t>
      </w:r>
      <w:r w:rsidR="00686315" w:rsidRPr="00771904">
        <w:rPr>
          <w:rFonts w:cs="Arial"/>
          <w:szCs w:val="22"/>
        </w:rPr>
        <w:t xml:space="preserve"> in the state</w:t>
      </w:r>
      <w:r w:rsidR="00C47124" w:rsidRPr="00771904">
        <w:rPr>
          <w:rFonts w:cs="Arial"/>
          <w:szCs w:val="22"/>
        </w:rPr>
        <w:t xml:space="preserve"> during FY11-12.  As a result,</w:t>
      </w:r>
      <w:r w:rsidR="00686315" w:rsidRPr="00771904">
        <w:rPr>
          <w:rFonts w:cs="Arial"/>
          <w:szCs w:val="22"/>
        </w:rPr>
        <w:t xml:space="preserve"> the verification of the APR data prior to issuing findings took longer than usual.  The findings letters to the </w:t>
      </w:r>
      <w:r w:rsidR="00C47124" w:rsidRPr="00771904">
        <w:rPr>
          <w:rFonts w:cs="Arial"/>
          <w:szCs w:val="22"/>
        </w:rPr>
        <w:t xml:space="preserve">11 </w:t>
      </w:r>
      <w:r w:rsidR="00686315" w:rsidRPr="00771904">
        <w:rPr>
          <w:rFonts w:cs="Arial"/>
          <w:szCs w:val="22"/>
        </w:rPr>
        <w:t xml:space="preserve">programs responsible for the 36 late new services were dated August 30, 2012.  Therefore, no findings </w:t>
      </w:r>
      <w:r w:rsidR="00C47124" w:rsidRPr="00771904">
        <w:rPr>
          <w:rFonts w:cs="Arial"/>
          <w:szCs w:val="22"/>
        </w:rPr>
        <w:t xml:space="preserve">letters </w:t>
      </w:r>
      <w:r w:rsidR="00686315" w:rsidRPr="00771904">
        <w:rPr>
          <w:rFonts w:cs="Arial"/>
          <w:szCs w:val="22"/>
        </w:rPr>
        <w:t xml:space="preserve">were </w:t>
      </w:r>
      <w:r w:rsidR="00C47124" w:rsidRPr="00771904">
        <w:rPr>
          <w:rFonts w:cs="Arial"/>
          <w:szCs w:val="22"/>
        </w:rPr>
        <w:t>issued</w:t>
      </w:r>
      <w:r w:rsidR="00686315" w:rsidRPr="00771904">
        <w:rPr>
          <w:rFonts w:cs="Arial"/>
          <w:szCs w:val="22"/>
        </w:rPr>
        <w:t xml:space="preserve"> for this indicator in FFY2011 (7/1/11-6/30/12).  Verification of correction of the eleven findings is due no later than August 30, 2013 which is in the ’13 -’14 fiscal year and will be reported in the APR due in February 2015.</w:t>
      </w:r>
    </w:p>
    <w:p w:rsidR="00686315" w:rsidRPr="00771904" w:rsidRDefault="00686315" w:rsidP="008E1688">
      <w:pPr>
        <w:rPr>
          <w:rFonts w:cs="Arial"/>
          <w:b/>
          <w:szCs w:val="22"/>
        </w:rPr>
      </w:pPr>
    </w:p>
    <w:p w:rsidR="008E1688" w:rsidRPr="00771904" w:rsidRDefault="008E1688" w:rsidP="008E1688">
      <w:pPr>
        <w:rPr>
          <w:rFonts w:cs="Arial"/>
          <w:b/>
          <w:szCs w:val="22"/>
        </w:rPr>
      </w:pPr>
      <w:r w:rsidRPr="00771904">
        <w:rPr>
          <w:rFonts w:cs="Arial"/>
          <w:b/>
          <w:szCs w:val="22"/>
        </w:rPr>
        <w:t>Verifi</w:t>
      </w:r>
      <w:r w:rsidR="00880376" w:rsidRPr="00771904">
        <w:rPr>
          <w:rFonts w:cs="Arial"/>
          <w:b/>
          <w:szCs w:val="22"/>
        </w:rPr>
        <w:t>cation of Correction of FFY 201</w:t>
      </w:r>
      <w:r w:rsidR="003C0D85" w:rsidRPr="00771904">
        <w:rPr>
          <w:rFonts w:cs="Arial"/>
          <w:b/>
          <w:szCs w:val="22"/>
        </w:rPr>
        <w:t>1</w:t>
      </w:r>
      <w:r w:rsidRPr="00771904">
        <w:rPr>
          <w:rFonts w:cs="Arial"/>
          <w:b/>
          <w:szCs w:val="22"/>
        </w:rPr>
        <w:t xml:space="preserve"> noncompliance (either timely or subsequent):  </w:t>
      </w:r>
    </w:p>
    <w:p w:rsidR="00686315" w:rsidRPr="00771904" w:rsidRDefault="00686315" w:rsidP="00686315">
      <w:pPr>
        <w:rPr>
          <w:rFonts w:cs="Arial"/>
          <w:szCs w:val="22"/>
        </w:rPr>
      </w:pPr>
    </w:p>
    <w:p w:rsidR="00686315" w:rsidRPr="00771904" w:rsidRDefault="00686315" w:rsidP="00686315">
      <w:pPr>
        <w:rPr>
          <w:rFonts w:cs="Arial"/>
          <w:szCs w:val="22"/>
        </w:rPr>
      </w:pPr>
      <w:r w:rsidRPr="00771904">
        <w:rPr>
          <w:rFonts w:cs="Arial"/>
          <w:szCs w:val="22"/>
        </w:rPr>
        <w:t xml:space="preserve">Because the State has in its data system the date </w:t>
      </w:r>
      <w:r w:rsidR="00711CD4" w:rsidRPr="00771904">
        <w:rPr>
          <w:rFonts w:cs="Arial"/>
          <w:szCs w:val="22"/>
        </w:rPr>
        <w:t xml:space="preserve">that </w:t>
      </w:r>
      <w:r w:rsidRPr="00771904">
        <w:rPr>
          <w:rFonts w:cs="Arial"/>
          <w:szCs w:val="22"/>
        </w:rPr>
        <w:t xml:space="preserve">each </w:t>
      </w:r>
      <w:r w:rsidR="00711CD4" w:rsidRPr="00771904">
        <w:rPr>
          <w:rFonts w:cs="Arial"/>
          <w:szCs w:val="22"/>
        </w:rPr>
        <w:t xml:space="preserve">first </w:t>
      </w:r>
      <w:r w:rsidRPr="00771904">
        <w:rPr>
          <w:rFonts w:cs="Arial"/>
          <w:szCs w:val="22"/>
        </w:rPr>
        <w:t xml:space="preserve">service </w:t>
      </w:r>
      <w:r w:rsidR="00711CD4" w:rsidRPr="00771904">
        <w:rPr>
          <w:rFonts w:cs="Arial"/>
          <w:szCs w:val="22"/>
        </w:rPr>
        <w:t xml:space="preserve">was </w:t>
      </w:r>
      <w:r w:rsidRPr="00771904">
        <w:rPr>
          <w:rFonts w:cs="Arial"/>
          <w:szCs w:val="22"/>
        </w:rPr>
        <w:t xml:space="preserve">delivered, it has verified that there are no children </w:t>
      </w:r>
      <w:r w:rsidR="00C47124" w:rsidRPr="00771904">
        <w:rPr>
          <w:rFonts w:cs="Arial"/>
          <w:szCs w:val="22"/>
        </w:rPr>
        <w:t xml:space="preserve">with IFSPs </w:t>
      </w:r>
      <w:r w:rsidRPr="00771904">
        <w:rPr>
          <w:rFonts w:cs="Arial"/>
          <w:szCs w:val="22"/>
        </w:rPr>
        <w:t>from the selected point in time waiting for new services to begin.</w:t>
      </w:r>
      <w:r w:rsidR="00BE35C2" w:rsidRPr="00771904">
        <w:rPr>
          <w:rFonts w:cs="Arial"/>
          <w:szCs w:val="22"/>
        </w:rPr>
        <w:t xml:space="preserve"> </w:t>
      </w:r>
    </w:p>
    <w:p w:rsidR="00CF5E6F" w:rsidRPr="00771904" w:rsidRDefault="00CF5E6F" w:rsidP="008E1688">
      <w:pPr>
        <w:rPr>
          <w:rFonts w:cs="Arial"/>
          <w:szCs w:val="22"/>
        </w:rPr>
      </w:pPr>
    </w:p>
    <w:p w:rsidR="008E1688" w:rsidRPr="00771904" w:rsidRDefault="008E1688" w:rsidP="008E1688">
      <w:pPr>
        <w:rPr>
          <w:rFonts w:cs="Arial"/>
          <w:b/>
          <w:szCs w:val="22"/>
        </w:rPr>
      </w:pPr>
      <w:r w:rsidRPr="00771904">
        <w:rPr>
          <w:rFonts w:cs="Arial"/>
          <w:b/>
          <w:szCs w:val="22"/>
        </w:rPr>
        <w:t xml:space="preserve">Describe the specific actions that </w:t>
      </w:r>
      <w:r w:rsidR="00192829" w:rsidRPr="00771904">
        <w:rPr>
          <w:rFonts w:cs="Arial"/>
          <w:b/>
          <w:szCs w:val="22"/>
        </w:rPr>
        <w:t>the State</w:t>
      </w:r>
      <w:r w:rsidRPr="00771904">
        <w:rPr>
          <w:rFonts w:cs="Arial"/>
          <w:b/>
          <w:szCs w:val="22"/>
        </w:rPr>
        <w:t xml:space="preserve"> took to verify the correction of findings of noncompliance identified in </w:t>
      </w:r>
      <w:r w:rsidR="00C02A8F" w:rsidRPr="00771904">
        <w:rPr>
          <w:rFonts w:cs="Arial"/>
          <w:b/>
          <w:szCs w:val="22"/>
        </w:rPr>
        <w:t>FFY</w:t>
      </w:r>
      <w:r w:rsidR="00995DB6" w:rsidRPr="00771904">
        <w:rPr>
          <w:rFonts w:cs="Arial"/>
          <w:b/>
          <w:szCs w:val="22"/>
        </w:rPr>
        <w:t>20</w:t>
      </w:r>
      <w:r w:rsidR="00C02A8F" w:rsidRPr="00771904">
        <w:rPr>
          <w:rFonts w:cs="Arial"/>
          <w:b/>
          <w:szCs w:val="22"/>
        </w:rPr>
        <w:t>11</w:t>
      </w:r>
      <w:r w:rsidRPr="00771904">
        <w:rPr>
          <w:rFonts w:cs="Arial"/>
          <w:b/>
          <w:szCs w:val="22"/>
        </w:rPr>
        <w:t>:</w:t>
      </w:r>
    </w:p>
    <w:p w:rsidR="00686315" w:rsidRPr="00771904" w:rsidRDefault="00686315" w:rsidP="008E1688">
      <w:pPr>
        <w:rPr>
          <w:rFonts w:cs="Arial"/>
          <w:b/>
          <w:szCs w:val="22"/>
        </w:rPr>
      </w:pPr>
    </w:p>
    <w:p w:rsidR="00BE35C2" w:rsidRPr="00771904" w:rsidRDefault="00BE35C2" w:rsidP="00BE35C2">
      <w:pPr>
        <w:pStyle w:val="StyleLeft025"/>
        <w:ind w:left="0" w:right="720"/>
        <w:rPr>
          <w:rFonts w:cs="Arial"/>
          <w:szCs w:val="22"/>
        </w:rPr>
      </w:pPr>
      <w:r w:rsidRPr="00771904">
        <w:rPr>
          <w:rFonts w:cs="Arial"/>
          <w:szCs w:val="22"/>
        </w:rPr>
        <w:t>No findings of noncompliance were made for this indicator in FFY2011 (7/1/11-6/30/12).  Verification of correction of the eleven findings is due no later than August 30, 2013 which is in the ’13 -’14 fiscal year and will be reported in the APR due in February 2015.</w:t>
      </w:r>
    </w:p>
    <w:p w:rsidR="00CF5E6F" w:rsidRPr="00771904" w:rsidRDefault="00CF5E6F" w:rsidP="00071B5F">
      <w:pPr>
        <w:pStyle w:val="StyleLeft025"/>
        <w:ind w:left="0" w:right="720"/>
        <w:rPr>
          <w:rFonts w:cs="Arial"/>
          <w:sz w:val="10"/>
          <w:szCs w:val="10"/>
        </w:rPr>
      </w:pPr>
    </w:p>
    <w:p w:rsidR="00D62383" w:rsidRPr="00771904" w:rsidRDefault="00D62383" w:rsidP="00D62383">
      <w:pPr>
        <w:pStyle w:val="StyleLeft025"/>
        <w:ind w:left="0" w:right="720"/>
        <w:rPr>
          <w:rFonts w:cs="Arial"/>
          <w:sz w:val="10"/>
          <w:szCs w:val="10"/>
        </w:rPr>
      </w:pPr>
    </w:p>
    <w:p w:rsidR="008E1688" w:rsidRPr="00771904" w:rsidRDefault="008E1688" w:rsidP="008E1688">
      <w:pPr>
        <w:rPr>
          <w:rFonts w:cs="Arial"/>
          <w:b/>
          <w:bCs/>
          <w:szCs w:val="22"/>
        </w:rPr>
      </w:pPr>
      <w:r w:rsidRPr="00771904">
        <w:rPr>
          <w:rFonts w:cs="Arial"/>
          <w:b/>
          <w:bCs/>
          <w:szCs w:val="22"/>
        </w:rPr>
        <w:t xml:space="preserve">Additional Information </w:t>
      </w:r>
      <w:proofErr w:type="gramStart"/>
      <w:r w:rsidRPr="00771904">
        <w:rPr>
          <w:rFonts w:cs="Arial"/>
          <w:b/>
          <w:bCs/>
          <w:szCs w:val="22"/>
        </w:rPr>
        <w:t>Required</w:t>
      </w:r>
      <w:proofErr w:type="gramEnd"/>
      <w:r w:rsidRPr="00771904">
        <w:rPr>
          <w:rFonts w:cs="Arial"/>
          <w:b/>
          <w:bCs/>
          <w:szCs w:val="22"/>
        </w:rPr>
        <w:t xml:space="preserve"> by the OSEP APR Response Table for this Indicator (if applicable):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876"/>
      </w:tblGrid>
      <w:tr w:rsidR="008E1688" w:rsidRPr="00771904" w:rsidTr="003070E1">
        <w:tc>
          <w:tcPr>
            <w:tcW w:w="4772" w:type="dxa"/>
          </w:tcPr>
          <w:p w:rsidR="008E1688" w:rsidRPr="00771904" w:rsidRDefault="008E1688" w:rsidP="00CB08E2">
            <w:pPr>
              <w:rPr>
                <w:rFonts w:cs="Arial"/>
                <w:b/>
                <w:szCs w:val="22"/>
              </w:rPr>
            </w:pPr>
            <w:r w:rsidRPr="00771904">
              <w:rPr>
                <w:rFonts w:cs="Arial"/>
                <w:b/>
                <w:bCs/>
                <w:szCs w:val="22"/>
              </w:rPr>
              <w:t>Statement from the Response Table</w:t>
            </w:r>
          </w:p>
        </w:tc>
        <w:tc>
          <w:tcPr>
            <w:tcW w:w="4876" w:type="dxa"/>
          </w:tcPr>
          <w:p w:rsidR="008E1688" w:rsidRPr="00771904" w:rsidRDefault="008E1688" w:rsidP="00CB08E2">
            <w:pPr>
              <w:rPr>
                <w:rFonts w:cs="Arial"/>
                <w:b/>
                <w:szCs w:val="22"/>
              </w:rPr>
            </w:pPr>
            <w:r w:rsidRPr="00771904">
              <w:rPr>
                <w:rFonts w:cs="Arial"/>
                <w:b/>
                <w:bCs/>
                <w:szCs w:val="22"/>
              </w:rPr>
              <w:t>State’s Response</w:t>
            </w:r>
          </w:p>
        </w:tc>
      </w:tr>
      <w:tr w:rsidR="008E1688" w:rsidRPr="00771904" w:rsidTr="00CB08E2">
        <w:trPr>
          <w:trHeight w:val="1187"/>
        </w:trPr>
        <w:tc>
          <w:tcPr>
            <w:tcW w:w="4772" w:type="dxa"/>
            <w:vAlign w:val="center"/>
          </w:tcPr>
          <w:p w:rsidR="008E1688" w:rsidRPr="00771904" w:rsidRDefault="002A2E32" w:rsidP="00CB08E2">
            <w:pPr>
              <w:autoSpaceDE w:val="0"/>
              <w:autoSpaceDN w:val="0"/>
              <w:adjustRightInd w:val="0"/>
              <w:rPr>
                <w:rFonts w:cs="Arial"/>
                <w:szCs w:val="22"/>
              </w:rPr>
            </w:pPr>
            <w:r w:rsidRPr="00771904">
              <w:rPr>
                <w:rFonts w:cs="Arial"/>
                <w:szCs w:val="22"/>
              </w:rPr>
              <w:t>“</w:t>
            </w:r>
            <w:r w:rsidR="00C10DA2" w:rsidRPr="00771904">
              <w:rPr>
                <w:rFonts w:cs="Arial"/>
                <w:szCs w:val="22"/>
              </w:rPr>
              <w:t xml:space="preserve">If </w:t>
            </w:r>
            <w:r w:rsidR="00192829" w:rsidRPr="00771904">
              <w:rPr>
                <w:rFonts w:cs="Arial"/>
                <w:szCs w:val="22"/>
              </w:rPr>
              <w:t>the State</w:t>
            </w:r>
            <w:r w:rsidR="00C10DA2" w:rsidRPr="00771904">
              <w:rPr>
                <w:rFonts w:cs="Arial"/>
                <w:szCs w:val="22"/>
              </w:rPr>
              <w:t xml:space="preserve"> does not report 100% compliance in the </w:t>
            </w:r>
            <w:r w:rsidR="00CF5E6F" w:rsidRPr="00771904">
              <w:rPr>
                <w:rFonts w:cs="Arial"/>
                <w:szCs w:val="22"/>
              </w:rPr>
              <w:t>FFY 2012</w:t>
            </w:r>
            <w:r w:rsidR="00C10DA2" w:rsidRPr="00771904">
              <w:rPr>
                <w:rFonts w:cs="Arial"/>
                <w:szCs w:val="22"/>
              </w:rPr>
              <w:t xml:space="preserve"> APR, </w:t>
            </w:r>
            <w:r w:rsidR="00192829" w:rsidRPr="00771904">
              <w:rPr>
                <w:rFonts w:cs="Arial"/>
                <w:szCs w:val="22"/>
              </w:rPr>
              <w:t>the State</w:t>
            </w:r>
            <w:r w:rsidR="00C10DA2" w:rsidRPr="00771904">
              <w:rPr>
                <w:rFonts w:cs="Arial"/>
                <w:szCs w:val="22"/>
              </w:rPr>
              <w:t xml:space="preserve"> must review its improvement activities and revise them, if necessary.</w:t>
            </w:r>
            <w:r w:rsidRPr="00771904">
              <w:rPr>
                <w:rFonts w:cs="Arial"/>
                <w:szCs w:val="22"/>
              </w:rPr>
              <w:t>”</w:t>
            </w:r>
          </w:p>
        </w:tc>
        <w:tc>
          <w:tcPr>
            <w:tcW w:w="4876" w:type="dxa"/>
            <w:vAlign w:val="center"/>
          </w:tcPr>
          <w:p w:rsidR="008E1688" w:rsidRPr="00771904" w:rsidRDefault="00C10DA2" w:rsidP="00C47124">
            <w:pPr>
              <w:rPr>
                <w:rFonts w:cs="Arial"/>
                <w:szCs w:val="22"/>
                <w:highlight w:val="yellow"/>
              </w:rPr>
            </w:pPr>
            <w:r w:rsidRPr="00771904">
              <w:rPr>
                <w:rFonts w:cs="Arial"/>
                <w:szCs w:val="22"/>
              </w:rPr>
              <w:t xml:space="preserve">The lead agency found that the noncompliance during the </w:t>
            </w:r>
            <w:r w:rsidR="00976EA6" w:rsidRPr="00771904">
              <w:rPr>
                <w:rFonts w:eastAsia="Calibri" w:cs="Arial"/>
                <w:szCs w:val="22"/>
              </w:rPr>
              <w:t>‘1</w:t>
            </w:r>
            <w:r w:rsidR="003C0D85" w:rsidRPr="00771904">
              <w:rPr>
                <w:rFonts w:eastAsia="Calibri" w:cs="Arial"/>
                <w:szCs w:val="22"/>
              </w:rPr>
              <w:t>2</w:t>
            </w:r>
            <w:r w:rsidR="00976EA6" w:rsidRPr="00771904">
              <w:rPr>
                <w:rFonts w:eastAsia="Calibri" w:cs="Arial"/>
                <w:szCs w:val="22"/>
              </w:rPr>
              <w:t>-</w:t>
            </w:r>
            <w:r w:rsidR="003C0D85" w:rsidRPr="00771904">
              <w:rPr>
                <w:rFonts w:eastAsia="Calibri" w:cs="Arial"/>
                <w:szCs w:val="22"/>
              </w:rPr>
              <w:t>‘13</w:t>
            </w:r>
            <w:r w:rsidRPr="00771904">
              <w:rPr>
                <w:rFonts w:cs="Arial"/>
                <w:szCs w:val="22"/>
              </w:rPr>
              <w:t xml:space="preserve"> year was very limited (</w:t>
            </w:r>
            <w:r w:rsidR="00C1538C" w:rsidRPr="00771904">
              <w:rPr>
                <w:rFonts w:cs="Arial"/>
                <w:szCs w:val="22"/>
              </w:rPr>
              <w:t>33</w:t>
            </w:r>
            <w:r w:rsidRPr="00771904">
              <w:rPr>
                <w:rFonts w:cs="Arial"/>
                <w:szCs w:val="22"/>
              </w:rPr>
              <w:t>/</w:t>
            </w:r>
            <w:r w:rsidR="002A2E32" w:rsidRPr="00771904">
              <w:rPr>
                <w:rFonts w:cs="Arial"/>
                <w:szCs w:val="22"/>
              </w:rPr>
              <w:t xml:space="preserve"> </w:t>
            </w:r>
            <w:r w:rsidR="00A21FC6" w:rsidRPr="00771904">
              <w:rPr>
                <w:rFonts w:cs="Arial"/>
                <w:szCs w:val="22"/>
              </w:rPr>
              <w:t>2049</w:t>
            </w:r>
            <w:r w:rsidR="002A2E32" w:rsidRPr="00771904">
              <w:rPr>
                <w:rFonts w:cs="Arial"/>
                <w:szCs w:val="22"/>
              </w:rPr>
              <w:t xml:space="preserve">) and often </w:t>
            </w:r>
            <w:r w:rsidR="00E41140" w:rsidRPr="00771904">
              <w:rPr>
                <w:rFonts w:cs="Arial"/>
                <w:szCs w:val="22"/>
              </w:rPr>
              <w:t>due to individual errors</w:t>
            </w:r>
            <w:r w:rsidR="00C1538C" w:rsidRPr="00771904">
              <w:rPr>
                <w:rFonts w:cs="Arial"/>
                <w:szCs w:val="22"/>
              </w:rPr>
              <w:t xml:space="preserve"> </w:t>
            </w:r>
            <w:r w:rsidR="00E41140" w:rsidRPr="00771904">
              <w:rPr>
                <w:rFonts w:cs="Arial"/>
                <w:szCs w:val="22"/>
              </w:rPr>
              <w:t>as new staff learn the rules.</w:t>
            </w:r>
            <w:r w:rsidR="002A2E32" w:rsidRPr="00771904">
              <w:rPr>
                <w:rFonts w:cs="Arial"/>
                <w:szCs w:val="22"/>
              </w:rPr>
              <w:t xml:space="preserve"> </w:t>
            </w:r>
            <w:r w:rsidR="00C47124" w:rsidRPr="00771904">
              <w:rPr>
                <w:rFonts w:cs="Arial"/>
                <w:szCs w:val="22"/>
              </w:rPr>
              <w:t xml:space="preserve">Because the State has in its data system the date that each first service was delivered, it has verified that </w:t>
            </w:r>
            <w:r w:rsidR="00686315" w:rsidRPr="00771904">
              <w:rPr>
                <w:rFonts w:cs="Arial"/>
                <w:szCs w:val="22"/>
              </w:rPr>
              <w:t>there is no outstanding child-specific non-compliance to be corrected.</w:t>
            </w:r>
          </w:p>
        </w:tc>
      </w:tr>
    </w:tbl>
    <w:p w:rsidR="008E1688" w:rsidRPr="00771904" w:rsidRDefault="008E1688" w:rsidP="008E1688">
      <w:pPr>
        <w:spacing w:before="240" w:after="120"/>
        <w:rPr>
          <w:rFonts w:cs="Arial"/>
          <w:b/>
          <w:iCs/>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C02A8F" w:rsidRPr="00771904">
        <w:rPr>
          <w:rFonts w:cs="Arial"/>
          <w:b/>
          <w:szCs w:val="22"/>
        </w:rPr>
        <w:t xml:space="preserve">FFY12 (July 1, 2012-June 30, 2013) </w:t>
      </w:r>
      <w:r w:rsidRPr="00771904">
        <w:rPr>
          <w:rFonts w:cs="Arial"/>
          <w:b/>
          <w:szCs w:val="22"/>
        </w:rPr>
        <w:t>(if applicable):</w:t>
      </w:r>
    </w:p>
    <w:p w:rsidR="006E74E4" w:rsidRPr="00771904" w:rsidRDefault="00BE35C2" w:rsidP="00CB08E2">
      <w:pPr>
        <w:rPr>
          <w:rFonts w:cs="Arial"/>
          <w:szCs w:val="22"/>
        </w:rPr>
      </w:pPr>
      <w:r w:rsidRPr="00771904">
        <w:rPr>
          <w:rFonts w:cs="Arial"/>
          <w:szCs w:val="22"/>
        </w:rPr>
        <w:t>No revisions at this time</w:t>
      </w:r>
      <w:r w:rsidR="006E74E4" w:rsidRPr="00771904">
        <w:rPr>
          <w:rFonts w:cs="Arial"/>
          <w:color w:val="BFBFBF"/>
        </w:rPr>
        <w:br w:type="page"/>
      </w:r>
      <w:r w:rsidR="006E74E4" w:rsidRPr="00771904">
        <w:rPr>
          <w:rFonts w:cs="Arial"/>
          <w:b/>
          <w:szCs w:val="22"/>
        </w:rPr>
        <w:lastRenderedPageBreak/>
        <w:t xml:space="preserve">Part C State Annual Performance Report (APR) for </w:t>
      </w:r>
      <w:r w:rsidR="0068780F" w:rsidRPr="00771904">
        <w:rPr>
          <w:rFonts w:cs="Arial"/>
          <w:b/>
          <w:szCs w:val="22"/>
        </w:rPr>
        <w:t xml:space="preserve">Federal </w:t>
      </w:r>
      <w:r w:rsidR="00BA69E5" w:rsidRPr="00771904">
        <w:rPr>
          <w:rFonts w:cs="Arial"/>
          <w:b/>
          <w:szCs w:val="22"/>
        </w:rPr>
        <w:t xml:space="preserve">Fiscal </w:t>
      </w:r>
      <w:r w:rsidR="00C71124" w:rsidRPr="00771904">
        <w:rPr>
          <w:rFonts w:cs="Arial"/>
          <w:b/>
          <w:szCs w:val="22"/>
        </w:rPr>
        <w:t xml:space="preserve">Year </w:t>
      </w:r>
      <w:r w:rsidR="00976EA6" w:rsidRPr="00771904">
        <w:rPr>
          <w:rFonts w:cs="Arial"/>
          <w:b/>
          <w:szCs w:val="22"/>
        </w:rPr>
        <w:t>(FFY) 201</w:t>
      </w:r>
      <w:r w:rsidR="00C02A8F" w:rsidRPr="00771904">
        <w:rPr>
          <w:rFonts w:cs="Arial"/>
          <w:b/>
          <w:szCs w:val="22"/>
        </w:rPr>
        <w:t>2</w:t>
      </w:r>
    </w:p>
    <w:p w:rsidR="006E74E4" w:rsidRPr="00771904" w:rsidRDefault="006E74E4">
      <w:pPr>
        <w:spacing w:after="120"/>
        <w:rPr>
          <w:rFonts w:cs="Arial"/>
          <w:b/>
          <w:iCs/>
          <w:szCs w:val="22"/>
        </w:rPr>
      </w:pPr>
    </w:p>
    <w:p w:rsidR="006E74E4" w:rsidRPr="00771904" w:rsidRDefault="006E74E4">
      <w:pPr>
        <w:spacing w:after="120"/>
        <w:rPr>
          <w:rFonts w:cs="Arial"/>
          <w:b/>
          <w:iCs/>
          <w:szCs w:val="22"/>
        </w:rPr>
      </w:pPr>
      <w:r w:rsidRPr="00771904">
        <w:rPr>
          <w:rFonts w:cs="Arial"/>
          <w:b/>
          <w:iCs/>
          <w:szCs w:val="22"/>
        </w:rPr>
        <w:t>Overview of the Annual Performance Report Development:</w:t>
      </w:r>
    </w:p>
    <w:p w:rsidR="006E74E4" w:rsidRPr="00771904" w:rsidRDefault="006E74E4">
      <w:pPr>
        <w:spacing w:after="120"/>
        <w:rPr>
          <w:rFonts w:cs="Arial"/>
          <w:szCs w:val="22"/>
        </w:rPr>
      </w:pPr>
      <w:r w:rsidRPr="00771904">
        <w:rPr>
          <w:rFonts w:cs="Arial"/>
          <w:szCs w:val="22"/>
        </w:rPr>
        <w:t>Same process as described in Indicator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E74E4" w:rsidRPr="00771904">
        <w:tc>
          <w:tcPr>
            <w:tcW w:w="9648" w:type="dxa"/>
          </w:tcPr>
          <w:p w:rsidR="006E74E4" w:rsidRPr="00771904" w:rsidRDefault="006E74E4">
            <w:pPr>
              <w:spacing w:before="240" w:after="240"/>
              <w:ind w:left="1980" w:hanging="1980"/>
              <w:rPr>
                <w:rFonts w:cs="Arial"/>
                <w:b/>
                <w:szCs w:val="22"/>
              </w:rPr>
            </w:pPr>
            <w:r w:rsidRPr="00771904">
              <w:rPr>
                <w:rFonts w:cs="Arial"/>
                <w:b/>
                <w:szCs w:val="22"/>
              </w:rPr>
              <w:t>Monitoring Priority: Early Intervention Services In Natural Environments</w:t>
            </w:r>
          </w:p>
        </w:tc>
      </w:tr>
      <w:tr w:rsidR="00973AC5" w:rsidRPr="00771904">
        <w:tc>
          <w:tcPr>
            <w:tcW w:w="9648" w:type="dxa"/>
          </w:tcPr>
          <w:p w:rsidR="00973AC5" w:rsidRPr="00771904" w:rsidRDefault="00973AC5" w:rsidP="00973AC5">
            <w:pPr>
              <w:pStyle w:val="Header"/>
              <w:tabs>
                <w:tab w:val="clear" w:pos="4320"/>
                <w:tab w:val="clear" w:pos="8640"/>
              </w:tabs>
              <w:spacing w:before="120" w:after="120"/>
              <w:rPr>
                <w:rFonts w:cs="Arial"/>
                <w:b/>
                <w:szCs w:val="22"/>
              </w:rPr>
            </w:pPr>
            <w:r w:rsidRPr="00771904">
              <w:rPr>
                <w:rFonts w:cs="Arial"/>
                <w:b/>
                <w:szCs w:val="22"/>
              </w:rPr>
              <w:t xml:space="preserve">Indicator 2:  </w:t>
            </w:r>
            <w:r w:rsidRPr="00771904">
              <w:rPr>
                <w:rFonts w:cs="Arial"/>
                <w:szCs w:val="22"/>
              </w:rPr>
              <w:t>Percent of infants and toddlers with IFSPs who primarily receive early intervention services in the home or community-based settings. (20 U.S.C. 1416(a)(3)(A) and 1442)</w:t>
            </w:r>
          </w:p>
        </w:tc>
      </w:tr>
    </w:tbl>
    <w:p w:rsidR="006E74E4" w:rsidRPr="00771904" w:rsidRDefault="006E74E4" w:rsidP="005508F3">
      <w:pPr>
        <w:ind w:left="1440" w:hanging="1440"/>
        <w:rPr>
          <w:rFonts w:cs="Arial"/>
          <w:b/>
          <w:szCs w:val="22"/>
        </w:rPr>
      </w:pPr>
      <w:bookmarkStart w:id="2" w:name="ind2"/>
      <w:bookmarkEnd w:id="2"/>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00"/>
      </w:tblGrid>
      <w:tr w:rsidR="006E74E4" w:rsidRPr="00771904" w:rsidTr="00973AC5">
        <w:tc>
          <w:tcPr>
            <w:tcW w:w="9630" w:type="dxa"/>
            <w:gridSpan w:val="2"/>
          </w:tcPr>
          <w:p w:rsidR="006E74E4" w:rsidRPr="00771904" w:rsidRDefault="007940C0">
            <w:pPr>
              <w:pStyle w:val="FootnoteText"/>
              <w:spacing w:before="60" w:after="60"/>
              <w:rPr>
                <w:rFonts w:cs="Arial"/>
                <w:sz w:val="22"/>
                <w:szCs w:val="22"/>
              </w:rPr>
            </w:pPr>
            <w:r w:rsidRPr="00771904">
              <w:rPr>
                <w:rFonts w:cs="Arial"/>
                <w:b/>
                <w:sz w:val="22"/>
                <w:szCs w:val="22"/>
              </w:rPr>
              <w:t>Measurement:</w:t>
            </w:r>
            <w:r w:rsidRPr="00771904">
              <w:rPr>
                <w:rFonts w:cs="Arial"/>
                <w:sz w:val="22"/>
                <w:szCs w:val="22"/>
              </w:rPr>
              <w:t xml:space="preserve"> Percent = [(# of infants and toddlers with IFSPs who primarily receive early intervention services in the home or community-based settings) divided by the (total # of infants and toddlers with IFSPs)] times 100.</w:t>
            </w:r>
          </w:p>
        </w:tc>
      </w:tr>
      <w:tr w:rsidR="006E74E4" w:rsidRPr="00771904" w:rsidTr="00973AC5">
        <w:tc>
          <w:tcPr>
            <w:tcW w:w="1530" w:type="dxa"/>
          </w:tcPr>
          <w:p w:rsidR="006E74E4" w:rsidRPr="00771904" w:rsidRDefault="005B1B42">
            <w:pPr>
              <w:spacing w:before="240" w:after="240"/>
              <w:jc w:val="center"/>
              <w:rPr>
                <w:rFonts w:cs="Arial"/>
                <w:b/>
                <w:szCs w:val="22"/>
                <w:shd w:val="pct20" w:color="auto" w:fill="auto"/>
              </w:rPr>
            </w:pPr>
            <w:r w:rsidRPr="00771904">
              <w:rPr>
                <w:rFonts w:cs="Arial"/>
                <w:b/>
                <w:szCs w:val="22"/>
              </w:rPr>
              <w:t>FFY1</w:t>
            </w:r>
            <w:r w:rsidR="00C02A8F" w:rsidRPr="00771904">
              <w:rPr>
                <w:rFonts w:cs="Arial"/>
                <w:b/>
                <w:szCs w:val="22"/>
              </w:rPr>
              <w:t>2</w:t>
            </w:r>
          </w:p>
        </w:tc>
        <w:tc>
          <w:tcPr>
            <w:tcW w:w="8100" w:type="dxa"/>
          </w:tcPr>
          <w:p w:rsidR="006E74E4" w:rsidRPr="00771904" w:rsidRDefault="006E74E4">
            <w:pPr>
              <w:spacing w:before="240" w:after="240"/>
              <w:jc w:val="center"/>
              <w:rPr>
                <w:rFonts w:cs="Arial"/>
                <w:b/>
                <w:szCs w:val="22"/>
              </w:rPr>
            </w:pPr>
            <w:r w:rsidRPr="00771904">
              <w:rPr>
                <w:rFonts w:cs="Arial"/>
                <w:b/>
                <w:szCs w:val="22"/>
              </w:rPr>
              <w:t>Measurable and Rigorous Target</w:t>
            </w:r>
          </w:p>
        </w:tc>
      </w:tr>
      <w:tr w:rsidR="006E74E4" w:rsidRPr="00771904" w:rsidTr="009639BE">
        <w:tc>
          <w:tcPr>
            <w:tcW w:w="1530" w:type="dxa"/>
          </w:tcPr>
          <w:p w:rsidR="006E74E4" w:rsidRPr="00771904" w:rsidRDefault="002A6A91" w:rsidP="009639BE">
            <w:pPr>
              <w:spacing w:before="120" w:after="120"/>
              <w:jc w:val="center"/>
              <w:rPr>
                <w:rFonts w:cs="Arial"/>
                <w:i/>
                <w:szCs w:val="22"/>
              </w:rPr>
            </w:pPr>
            <w:r w:rsidRPr="00771904">
              <w:rPr>
                <w:rFonts w:cs="Arial"/>
                <w:i/>
                <w:szCs w:val="22"/>
              </w:rPr>
              <w:t>7/1/12-6/30/13</w:t>
            </w:r>
          </w:p>
        </w:tc>
        <w:tc>
          <w:tcPr>
            <w:tcW w:w="8100" w:type="dxa"/>
            <w:vAlign w:val="center"/>
          </w:tcPr>
          <w:p w:rsidR="00721058" w:rsidRPr="00771904" w:rsidRDefault="006E74E4" w:rsidP="00721058">
            <w:pPr>
              <w:spacing w:before="120" w:after="120"/>
              <w:jc w:val="center"/>
              <w:rPr>
                <w:rFonts w:cs="Arial"/>
                <w:i/>
                <w:szCs w:val="22"/>
              </w:rPr>
            </w:pPr>
            <w:r w:rsidRPr="00771904">
              <w:rPr>
                <w:rFonts w:cs="Arial"/>
                <w:i/>
                <w:szCs w:val="22"/>
              </w:rPr>
              <w:t>95%</w:t>
            </w:r>
          </w:p>
        </w:tc>
      </w:tr>
    </w:tbl>
    <w:p w:rsidR="006E74E4" w:rsidRPr="00771904" w:rsidRDefault="00CD5F8A" w:rsidP="00530A53">
      <w:pPr>
        <w:spacing w:before="120" w:after="120"/>
        <w:rPr>
          <w:rFonts w:cs="Arial"/>
          <w:b/>
          <w:szCs w:val="22"/>
        </w:rPr>
      </w:pPr>
      <w:r w:rsidRPr="00771904">
        <w:rPr>
          <w:rFonts w:cs="Arial"/>
          <w:b/>
          <w:szCs w:val="22"/>
        </w:rPr>
        <w:t xml:space="preserve">Actual Target Data for </w:t>
      </w:r>
      <w:r w:rsidR="005B1B42" w:rsidRPr="00771904">
        <w:rPr>
          <w:rFonts w:cs="Arial"/>
          <w:b/>
          <w:szCs w:val="22"/>
        </w:rPr>
        <w:t>FFY1</w:t>
      </w:r>
      <w:r w:rsidR="00C02A8F" w:rsidRPr="00771904">
        <w:rPr>
          <w:rFonts w:cs="Arial"/>
          <w:b/>
          <w:szCs w:val="22"/>
        </w:rPr>
        <w:t>2</w:t>
      </w:r>
      <w:r w:rsidRPr="00771904">
        <w:rPr>
          <w:rFonts w:cs="Arial"/>
          <w:b/>
          <w:szCs w:val="22"/>
        </w:rPr>
        <w:t xml:space="preserve"> </w:t>
      </w:r>
      <w:r w:rsidR="00FC6703" w:rsidRPr="00771904">
        <w:rPr>
          <w:rFonts w:cs="Arial"/>
          <w:b/>
          <w:szCs w:val="22"/>
        </w:rPr>
        <w:t>(</w:t>
      </w:r>
      <w:r w:rsidR="00BE2887" w:rsidRPr="00771904">
        <w:rPr>
          <w:rFonts w:cs="Arial"/>
          <w:b/>
          <w:szCs w:val="22"/>
        </w:rPr>
        <w:t>July 1, 2012-June 30, 2013</w:t>
      </w:r>
      <w:r w:rsidR="00FC6703" w:rsidRPr="00771904">
        <w:rPr>
          <w:rFonts w:cs="Arial"/>
          <w:b/>
          <w:szCs w:val="22"/>
        </w:rPr>
        <w:t>):</w:t>
      </w:r>
    </w:p>
    <w:p w:rsidR="006E74E4" w:rsidRPr="00771904" w:rsidRDefault="00B72644" w:rsidP="00530A53">
      <w:pPr>
        <w:spacing w:before="120" w:after="120"/>
        <w:rPr>
          <w:rFonts w:cs="Arial"/>
          <w:szCs w:val="22"/>
        </w:rPr>
      </w:pPr>
      <w:r w:rsidRPr="00771904">
        <w:rPr>
          <w:rFonts w:cs="Arial"/>
          <w:szCs w:val="22"/>
        </w:rPr>
        <w:t>The information b</w:t>
      </w:r>
      <w:r w:rsidR="006E74E4" w:rsidRPr="00771904">
        <w:rPr>
          <w:rFonts w:cs="Arial"/>
          <w:szCs w:val="22"/>
        </w:rPr>
        <w:t xml:space="preserve">elow is </w:t>
      </w:r>
      <w:r w:rsidRPr="00771904">
        <w:rPr>
          <w:rFonts w:cs="Arial"/>
          <w:szCs w:val="22"/>
        </w:rPr>
        <w:t xml:space="preserve">taken </w:t>
      </w:r>
      <w:r w:rsidR="006E74E4" w:rsidRPr="00771904">
        <w:rPr>
          <w:rFonts w:cs="Arial"/>
          <w:szCs w:val="22"/>
        </w:rPr>
        <w:t xml:space="preserve">from the </w:t>
      </w:r>
      <w:r w:rsidR="00676F58" w:rsidRPr="00771904">
        <w:rPr>
          <w:rFonts w:cs="Arial"/>
          <w:szCs w:val="22"/>
        </w:rPr>
        <w:t xml:space="preserve">IDEA Section </w:t>
      </w:r>
      <w:r w:rsidR="006E74E4" w:rsidRPr="00771904">
        <w:rPr>
          <w:rFonts w:cs="Arial"/>
          <w:szCs w:val="22"/>
        </w:rPr>
        <w:t>618 setting tables submitted for childre</w:t>
      </w:r>
      <w:r w:rsidR="004D7B4C" w:rsidRPr="00771904">
        <w:rPr>
          <w:rFonts w:cs="Arial"/>
          <w:szCs w:val="22"/>
        </w:rPr>
        <w:t>n with IFSPs on December 1</w:t>
      </w:r>
      <w:r w:rsidR="00BE2887" w:rsidRPr="00771904">
        <w:rPr>
          <w:rFonts w:cs="Arial"/>
          <w:szCs w:val="22"/>
        </w:rPr>
        <w:t>, 2012</w:t>
      </w:r>
      <w:r w:rsidR="006E74E4" w:rsidRPr="00771904">
        <w:rPr>
          <w:rFonts w:cs="Arial"/>
          <w:szCs w:val="22"/>
        </w:rPr>
        <w:t>.</w:t>
      </w:r>
    </w:p>
    <w:tbl>
      <w:tblPr>
        <w:tblW w:w="422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0"/>
        <w:gridCol w:w="3439"/>
      </w:tblGrid>
      <w:tr w:rsidR="006E74E4" w:rsidRPr="00771904" w:rsidTr="00112EF3">
        <w:tc>
          <w:tcPr>
            <w:tcW w:w="5000" w:type="pct"/>
            <w:gridSpan w:val="2"/>
            <w:noWrap/>
            <w:vAlign w:val="bottom"/>
          </w:tcPr>
          <w:p w:rsidR="006E74E4" w:rsidRPr="00771904" w:rsidRDefault="005F0081" w:rsidP="00530A53">
            <w:pPr>
              <w:jc w:val="center"/>
              <w:rPr>
                <w:rFonts w:cs="Arial"/>
                <w:szCs w:val="22"/>
              </w:rPr>
            </w:pPr>
            <w:r w:rsidRPr="00771904">
              <w:rPr>
                <w:rFonts w:cs="Arial"/>
                <w:szCs w:val="22"/>
              </w:rPr>
              <w:t>Primary Setting</w:t>
            </w:r>
            <w:r w:rsidR="007C7060" w:rsidRPr="00771904">
              <w:rPr>
                <w:rFonts w:cs="Arial"/>
                <w:szCs w:val="22"/>
              </w:rPr>
              <w:t>s</w:t>
            </w:r>
            <w:r w:rsidRPr="00771904">
              <w:rPr>
                <w:rFonts w:cs="Arial"/>
                <w:szCs w:val="22"/>
              </w:rPr>
              <w:t xml:space="preserve"> of Infants and Todd</w:t>
            </w:r>
            <w:r w:rsidR="00F951A4" w:rsidRPr="00771904">
              <w:rPr>
                <w:rFonts w:cs="Arial"/>
                <w:szCs w:val="22"/>
              </w:rPr>
              <w:t>l</w:t>
            </w:r>
            <w:r w:rsidRPr="00771904">
              <w:rPr>
                <w:rFonts w:cs="Arial"/>
                <w:szCs w:val="22"/>
              </w:rPr>
              <w:t>ers, Ages Birth Through 2</w:t>
            </w:r>
          </w:p>
        </w:tc>
      </w:tr>
      <w:tr w:rsidR="008E1688" w:rsidRPr="00771904" w:rsidTr="009639BE">
        <w:trPr>
          <w:trHeight w:val="467"/>
        </w:trPr>
        <w:tc>
          <w:tcPr>
            <w:tcW w:w="5000" w:type="pct"/>
            <w:gridSpan w:val="2"/>
            <w:noWrap/>
            <w:vAlign w:val="center"/>
          </w:tcPr>
          <w:p w:rsidR="00721058" w:rsidRPr="00771904" w:rsidRDefault="008E1688" w:rsidP="00602EE8">
            <w:pPr>
              <w:jc w:val="center"/>
              <w:rPr>
                <w:rFonts w:cs="Arial"/>
                <w:szCs w:val="22"/>
              </w:rPr>
            </w:pPr>
            <w:r w:rsidRPr="00771904">
              <w:rPr>
                <w:rFonts w:cs="Arial"/>
                <w:szCs w:val="22"/>
              </w:rPr>
              <w:t>(43</w:t>
            </w:r>
            <w:r w:rsidR="00BE2887" w:rsidRPr="00771904">
              <w:rPr>
                <w:rFonts w:cs="Arial"/>
                <w:szCs w:val="22"/>
              </w:rPr>
              <w:t>19</w:t>
            </w:r>
            <w:r w:rsidRPr="00771904">
              <w:rPr>
                <w:rFonts w:cs="Arial"/>
                <w:szCs w:val="22"/>
              </w:rPr>
              <w:t xml:space="preserve"> + </w:t>
            </w:r>
            <w:r w:rsidR="00BE2887" w:rsidRPr="00771904">
              <w:rPr>
                <w:rFonts w:cs="Arial"/>
                <w:szCs w:val="22"/>
              </w:rPr>
              <w:t>89</w:t>
            </w:r>
            <w:r w:rsidRPr="00771904">
              <w:rPr>
                <w:rFonts w:cs="Arial"/>
                <w:szCs w:val="22"/>
              </w:rPr>
              <w:t>) / 4</w:t>
            </w:r>
            <w:r w:rsidR="00976EA6" w:rsidRPr="00771904">
              <w:rPr>
                <w:rFonts w:cs="Arial"/>
                <w:szCs w:val="22"/>
              </w:rPr>
              <w:t>4</w:t>
            </w:r>
            <w:r w:rsidR="00BE2887" w:rsidRPr="00771904">
              <w:rPr>
                <w:rFonts w:cs="Arial"/>
                <w:szCs w:val="22"/>
              </w:rPr>
              <w:t>10</w:t>
            </w:r>
            <w:r w:rsidRPr="00771904">
              <w:rPr>
                <w:rFonts w:cs="Arial"/>
                <w:szCs w:val="22"/>
              </w:rPr>
              <w:t xml:space="preserve"> = 99</w:t>
            </w:r>
            <w:r w:rsidR="00BE2887" w:rsidRPr="00771904">
              <w:rPr>
                <w:rFonts w:cs="Arial"/>
                <w:szCs w:val="22"/>
              </w:rPr>
              <w:t>.9</w:t>
            </w:r>
            <w:r w:rsidRPr="00771904">
              <w:rPr>
                <w:rFonts w:cs="Arial"/>
                <w:szCs w:val="22"/>
              </w:rPr>
              <w:t>%</w:t>
            </w:r>
          </w:p>
        </w:tc>
      </w:tr>
      <w:tr w:rsidR="006E74E4" w:rsidRPr="00771904" w:rsidTr="00112EF3">
        <w:tc>
          <w:tcPr>
            <w:tcW w:w="2877" w:type="pct"/>
            <w:noWrap/>
            <w:vAlign w:val="bottom"/>
          </w:tcPr>
          <w:p w:rsidR="006E74E4" w:rsidRPr="00771904" w:rsidRDefault="005F0081" w:rsidP="00530A53">
            <w:pPr>
              <w:rPr>
                <w:rFonts w:cs="Arial"/>
                <w:szCs w:val="22"/>
              </w:rPr>
            </w:pPr>
            <w:r w:rsidRPr="00771904">
              <w:rPr>
                <w:rFonts w:cs="Arial"/>
                <w:szCs w:val="22"/>
              </w:rPr>
              <w:t>Total (Rows 1-3)</w:t>
            </w:r>
          </w:p>
        </w:tc>
        <w:tc>
          <w:tcPr>
            <w:tcW w:w="2123" w:type="pct"/>
            <w:noWrap/>
            <w:vAlign w:val="bottom"/>
          </w:tcPr>
          <w:p w:rsidR="006E74E4" w:rsidRPr="00771904" w:rsidRDefault="00FC6703" w:rsidP="00BE2887">
            <w:pPr>
              <w:jc w:val="center"/>
              <w:rPr>
                <w:rFonts w:cs="Arial"/>
                <w:szCs w:val="22"/>
              </w:rPr>
            </w:pPr>
            <w:r w:rsidRPr="00771904">
              <w:rPr>
                <w:rFonts w:cs="Arial"/>
                <w:szCs w:val="22"/>
              </w:rPr>
              <w:t>4</w:t>
            </w:r>
            <w:r w:rsidR="00976EA6" w:rsidRPr="00771904">
              <w:rPr>
                <w:rFonts w:cs="Arial"/>
                <w:szCs w:val="22"/>
              </w:rPr>
              <w:t>4</w:t>
            </w:r>
            <w:r w:rsidR="00BE2887" w:rsidRPr="00771904">
              <w:rPr>
                <w:rFonts w:cs="Arial"/>
                <w:szCs w:val="22"/>
              </w:rPr>
              <w:t>10</w:t>
            </w:r>
          </w:p>
        </w:tc>
      </w:tr>
      <w:tr w:rsidR="006E74E4" w:rsidRPr="00771904" w:rsidTr="00112EF3">
        <w:tc>
          <w:tcPr>
            <w:tcW w:w="2877" w:type="pct"/>
            <w:noWrap/>
            <w:vAlign w:val="bottom"/>
          </w:tcPr>
          <w:p w:rsidR="006E74E4" w:rsidRPr="00771904" w:rsidRDefault="005F0081" w:rsidP="00530A53">
            <w:pPr>
              <w:rPr>
                <w:rFonts w:cs="Arial"/>
                <w:szCs w:val="22"/>
              </w:rPr>
            </w:pPr>
            <w:r w:rsidRPr="00771904">
              <w:rPr>
                <w:rFonts w:cs="Arial"/>
                <w:szCs w:val="22"/>
              </w:rPr>
              <w:t xml:space="preserve"> 1. Home</w:t>
            </w:r>
          </w:p>
        </w:tc>
        <w:tc>
          <w:tcPr>
            <w:tcW w:w="2123" w:type="pct"/>
            <w:noWrap/>
            <w:vAlign w:val="bottom"/>
          </w:tcPr>
          <w:p w:rsidR="006E74E4" w:rsidRPr="00771904" w:rsidRDefault="00BE2887" w:rsidP="00976EA6">
            <w:pPr>
              <w:jc w:val="center"/>
              <w:rPr>
                <w:rFonts w:cs="Arial"/>
                <w:szCs w:val="22"/>
              </w:rPr>
            </w:pPr>
            <w:r w:rsidRPr="00771904">
              <w:rPr>
                <w:rFonts w:cs="Arial"/>
                <w:szCs w:val="22"/>
              </w:rPr>
              <w:t>4319</w:t>
            </w:r>
          </w:p>
        </w:tc>
      </w:tr>
      <w:tr w:rsidR="006E74E4" w:rsidRPr="00771904" w:rsidTr="00112EF3">
        <w:tc>
          <w:tcPr>
            <w:tcW w:w="2877" w:type="pct"/>
            <w:noWrap/>
            <w:vAlign w:val="bottom"/>
          </w:tcPr>
          <w:p w:rsidR="006E74E4" w:rsidRPr="00771904" w:rsidRDefault="005F0081" w:rsidP="00530A53">
            <w:pPr>
              <w:rPr>
                <w:rFonts w:cs="Arial"/>
                <w:szCs w:val="22"/>
              </w:rPr>
            </w:pPr>
            <w:r w:rsidRPr="00771904">
              <w:rPr>
                <w:rFonts w:cs="Arial"/>
                <w:szCs w:val="22"/>
              </w:rPr>
              <w:t xml:space="preserve"> 2. Community-Based Setting</w:t>
            </w:r>
            <w:r w:rsidR="00AD7A44" w:rsidRPr="00771904">
              <w:rPr>
                <w:rFonts w:cs="Arial"/>
                <w:szCs w:val="22"/>
              </w:rPr>
              <w:t>s</w:t>
            </w:r>
          </w:p>
        </w:tc>
        <w:tc>
          <w:tcPr>
            <w:tcW w:w="2123" w:type="pct"/>
            <w:noWrap/>
            <w:vAlign w:val="bottom"/>
          </w:tcPr>
          <w:p w:rsidR="006E74E4" w:rsidRPr="00771904" w:rsidRDefault="0017402A" w:rsidP="00BE2887">
            <w:pPr>
              <w:jc w:val="center"/>
              <w:rPr>
                <w:rFonts w:cs="Arial"/>
                <w:szCs w:val="22"/>
              </w:rPr>
            </w:pPr>
            <w:r w:rsidRPr="00771904">
              <w:rPr>
                <w:rFonts w:cs="Arial"/>
                <w:szCs w:val="22"/>
              </w:rPr>
              <w:t xml:space="preserve">  </w:t>
            </w:r>
            <w:r w:rsidR="00976EA6" w:rsidRPr="00771904">
              <w:rPr>
                <w:rFonts w:cs="Arial"/>
                <w:szCs w:val="22"/>
              </w:rPr>
              <w:t xml:space="preserve"> </w:t>
            </w:r>
            <w:r w:rsidR="00BE2887" w:rsidRPr="00771904">
              <w:rPr>
                <w:rFonts w:cs="Arial"/>
                <w:szCs w:val="22"/>
              </w:rPr>
              <w:t>89</w:t>
            </w:r>
          </w:p>
        </w:tc>
      </w:tr>
      <w:tr w:rsidR="006E74E4" w:rsidRPr="00771904" w:rsidTr="00112EF3">
        <w:tc>
          <w:tcPr>
            <w:tcW w:w="2877" w:type="pct"/>
            <w:noWrap/>
            <w:vAlign w:val="bottom"/>
          </w:tcPr>
          <w:p w:rsidR="006E74E4" w:rsidRPr="00771904" w:rsidRDefault="005F0081" w:rsidP="00530A53">
            <w:pPr>
              <w:rPr>
                <w:rFonts w:cs="Arial"/>
                <w:szCs w:val="22"/>
              </w:rPr>
            </w:pPr>
            <w:r w:rsidRPr="00771904">
              <w:rPr>
                <w:rFonts w:cs="Arial"/>
                <w:szCs w:val="22"/>
              </w:rPr>
              <w:t xml:space="preserve"> 3. Other Settin</w:t>
            </w:r>
            <w:r w:rsidR="00AD7A44" w:rsidRPr="00771904">
              <w:rPr>
                <w:rFonts w:cs="Arial"/>
                <w:szCs w:val="22"/>
              </w:rPr>
              <w:t>gs</w:t>
            </w:r>
          </w:p>
        </w:tc>
        <w:tc>
          <w:tcPr>
            <w:tcW w:w="2123" w:type="pct"/>
            <w:noWrap/>
            <w:vAlign w:val="bottom"/>
          </w:tcPr>
          <w:p w:rsidR="006E74E4" w:rsidRPr="00771904" w:rsidRDefault="0017402A" w:rsidP="00BE2887">
            <w:pPr>
              <w:jc w:val="center"/>
              <w:rPr>
                <w:rFonts w:cs="Arial"/>
                <w:szCs w:val="22"/>
              </w:rPr>
            </w:pPr>
            <w:r w:rsidRPr="00771904">
              <w:rPr>
                <w:rFonts w:cs="Arial"/>
                <w:szCs w:val="22"/>
              </w:rPr>
              <w:t xml:space="preserve">   </w:t>
            </w:r>
            <w:r w:rsidR="00FC6703" w:rsidRPr="00771904">
              <w:rPr>
                <w:rFonts w:cs="Arial"/>
                <w:szCs w:val="22"/>
              </w:rPr>
              <w:t xml:space="preserve"> </w:t>
            </w:r>
            <w:r w:rsidR="00BE2887" w:rsidRPr="00771904">
              <w:rPr>
                <w:rFonts w:cs="Arial"/>
                <w:szCs w:val="22"/>
              </w:rPr>
              <w:t>2</w:t>
            </w:r>
          </w:p>
        </w:tc>
      </w:tr>
    </w:tbl>
    <w:p w:rsidR="009639BE" w:rsidRPr="00771904" w:rsidRDefault="009639BE" w:rsidP="009639BE">
      <w:pPr>
        <w:rPr>
          <w:rFonts w:cs="Arial"/>
          <w:i/>
          <w:sz w:val="12"/>
          <w:szCs w:val="12"/>
        </w:rPr>
      </w:pPr>
    </w:p>
    <w:p w:rsidR="00CD5F8A" w:rsidRPr="00771904" w:rsidRDefault="00CD5F8A" w:rsidP="00CD5F8A">
      <w:pPr>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for </w:t>
      </w:r>
      <w:r w:rsidR="00C02A8F" w:rsidRPr="00771904">
        <w:rPr>
          <w:rFonts w:cs="Arial"/>
          <w:b/>
          <w:szCs w:val="22"/>
        </w:rPr>
        <w:t>FFY12</w:t>
      </w:r>
      <w:r w:rsidR="00FC6703" w:rsidRPr="00771904">
        <w:rPr>
          <w:rFonts w:cs="Arial"/>
          <w:b/>
          <w:szCs w:val="22"/>
        </w:rPr>
        <w:t>:</w:t>
      </w:r>
    </w:p>
    <w:p w:rsidR="00353F91" w:rsidRPr="00771904" w:rsidRDefault="00353F91" w:rsidP="00CD5F8A">
      <w:pPr>
        <w:rPr>
          <w:rFonts w:cs="Arial"/>
          <w:i/>
          <w:sz w:val="12"/>
          <w:szCs w:val="12"/>
        </w:rPr>
      </w:pPr>
    </w:p>
    <w:p w:rsidR="00E41140" w:rsidRPr="00771904" w:rsidRDefault="00E41140" w:rsidP="00F70350">
      <w:pPr>
        <w:rPr>
          <w:rFonts w:cs="Arial"/>
          <w:szCs w:val="22"/>
        </w:rPr>
      </w:pPr>
      <w:r w:rsidRPr="00771904">
        <w:rPr>
          <w:rFonts w:cs="Arial"/>
          <w:szCs w:val="22"/>
        </w:rPr>
        <w:t xml:space="preserve">Pursuant to OSEP Memo </w:t>
      </w:r>
      <w:r w:rsidR="009C1E7C" w:rsidRPr="00771904">
        <w:rPr>
          <w:rFonts w:cs="Arial"/>
          <w:szCs w:val="22"/>
        </w:rPr>
        <w:t>14-3</w:t>
      </w:r>
      <w:r w:rsidRPr="00771904">
        <w:rPr>
          <w:rFonts w:cs="Arial"/>
          <w:szCs w:val="22"/>
        </w:rPr>
        <w:t xml:space="preserve">, Connecticut is not required to report on progress/slippage or improvement activities for this Indicator because </w:t>
      </w:r>
      <w:r w:rsidR="00192829" w:rsidRPr="00771904">
        <w:rPr>
          <w:rFonts w:cs="Arial"/>
          <w:szCs w:val="22"/>
        </w:rPr>
        <w:t>the State</w:t>
      </w:r>
      <w:r w:rsidRPr="00771904">
        <w:rPr>
          <w:rFonts w:cs="Arial"/>
          <w:szCs w:val="22"/>
        </w:rPr>
        <w:t xml:space="preserve"> has met its target.</w:t>
      </w:r>
    </w:p>
    <w:p w:rsidR="009639BE" w:rsidRPr="00771904" w:rsidRDefault="009639BE" w:rsidP="009639BE">
      <w:pPr>
        <w:rPr>
          <w:rFonts w:cs="Arial"/>
          <w:i/>
          <w:sz w:val="12"/>
          <w:szCs w:val="12"/>
        </w:rPr>
      </w:pPr>
    </w:p>
    <w:p w:rsidR="00CD5F8A" w:rsidRPr="00771904" w:rsidRDefault="00CD5F8A" w:rsidP="00CD5F8A">
      <w:pPr>
        <w:pStyle w:val="StyleLeft025"/>
        <w:ind w:left="0"/>
        <w:rPr>
          <w:rFonts w:cs="Arial"/>
          <w:i/>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5B1B42" w:rsidRPr="00771904">
        <w:rPr>
          <w:rFonts w:cs="Arial"/>
          <w:b/>
          <w:szCs w:val="22"/>
        </w:rPr>
        <w:t>FFY12</w:t>
      </w:r>
      <w:r w:rsidR="00FC6703" w:rsidRPr="00771904">
        <w:rPr>
          <w:rFonts w:cs="Arial"/>
          <w:b/>
          <w:szCs w:val="22"/>
        </w:rPr>
        <w:t xml:space="preserve"> </w:t>
      </w:r>
      <w:r w:rsidRPr="00771904">
        <w:rPr>
          <w:rFonts w:cs="Arial"/>
          <w:i/>
          <w:szCs w:val="22"/>
        </w:rPr>
        <w:t>[If applicable]</w:t>
      </w:r>
    </w:p>
    <w:p w:rsidR="00926F30" w:rsidRPr="00771904" w:rsidRDefault="00926F30" w:rsidP="00CD5F8A">
      <w:pPr>
        <w:pStyle w:val="StyleLeft025"/>
        <w:ind w:left="0"/>
        <w:rPr>
          <w:rFonts w:cs="Arial"/>
          <w:szCs w:val="22"/>
        </w:rPr>
      </w:pPr>
    </w:p>
    <w:p w:rsidR="004D7B4C" w:rsidRPr="00771904" w:rsidRDefault="00BE35C2" w:rsidP="00CD5F8A">
      <w:pPr>
        <w:pStyle w:val="StyleLeft025"/>
        <w:ind w:left="0"/>
        <w:rPr>
          <w:rFonts w:cs="Arial"/>
          <w:szCs w:val="22"/>
        </w:rPr>
      </w:pPr>
      <w:r w:rsidRPr="00771904">
        <w:rPr>
          <w:rFonts w:cs="Arial"/>
          <w:szCs w:val="22"/>
        </w:rPr>
        <w:t>No revisions at this time</w:t>
      </w:r>
      <w:r w:rsidR="002C3F06" w:rsidRPr="00771904">
        <w:rPr>
          <w:rFonts w:cs="Arial"/>
          <w:szCs w:val="22"/>
        </w:rPr>
        <w:t xml:space="preserve">  </w:t>
      </w:r>
    </w:p>
    <w:p w:rsidR="000C0620" w:rsidRPr="00771904" w:rsidRDefault="000C0620" w:rsidP="000C0620">
      <w:pPr>
        <w:pStyle w:val="BodyText2"/>
        <w:spacing w:before="0" w:after="0"/>
        <w:ind w:left="360"/>
      </w:pPr>
    </w:p>
    <w:p w:rsidR="00362875" w:rsidRPr="00771904" w:rsidRDefault="006E74E4" w:rsidP="009639BE">
      <w:pPr>
        <w:pStyle w:val="StyleLeft025"/>
        <w:ind w:left="0"/>
        <w:rPr>
          <w:rFonts w:cs="Arial"/>
          <w:b/>
          <w:szCs w:val="22"/>
        </w:rPr>
      </w:pPr>
      <w:r w:rsidRPr="00771904">
        <w:rPr>
          <w:rFonts w:cs="Arial"/>
          <w:color w:val="000000"/>
        </w:rPr>
        <w:br w:type="page"/>
      </w:r>
      <w:r w:rsidR="00362875" w:rsidRPr="00771904">
        <w:rPr>
          <w:rFonts w:cs="Arial"/>
          <w:b/>
          <w:szCs w:val="22"/>
        </w:rPr>
        <w:lastRenderedPageBreak/>
        <w:t xml:space="preserve">Part C State Annual Performance Report (APR) for Federal Fiscal Year </w:t>
      </w:r>
      <w:r w:rsidR="00976EA6" w:rsidRPr="00771904">
        <w:rPr>
          <w:rFonts w:cs="Arial"/>
          <w:b/>
          <w:szCs w:val="22"/>
        </w:rPr>
        <w:t>(FFY) 201</w:t>
      </w:r>
      <w:r w:rsidR="00C02A8F" w:rsidRPr="00771904">
        <w:rPr>
          <w:rFonts w:cs="Arial"/>
          <w:b/>
          <w:szCs w:val="22"/>
        </w:rPr>
        <w:t>2</w:t>
      </w:r>
    </w:p>
    <w:p w:rsidR="008464DF" w:rsidRPr="00771904" w:rsidRDefault="008464DF" w:rsidP="009639BE">
      <w:pPr>
        <w:pStyle w:val="StyleLeft025"/>
        <w:ind w:left="0"/>
        <w:rPr>
          <w:rFonts w:cs="Arial"/>
          <w:szCs w:val="22"/>
        </w:rPr>
      </w:pPr>
    </w:p>
    <w:p w:rsidR="00362875" w:rsidRPr="00771904" w:rsidRDefault="00362875" w:rsidP="00362875">
      <w:pPr>
        <w:spacing w:after="120"/>
        <w:rPr>
          <w:rFonts w:cs="Arial"/>
          <w:b/>
          <w:iCs/>
          <w:szCs w:val="22"/>
        </w:rPr>
      </w:pPr>
      <w:r w:rsidRPr="00771904">
        <w:rPr>
          <w:rFonts w:cs="Arial"/>
          <w:b/>
          <w:iCs/>
          <w:szCs w:val="22"/>
        </w:rPr>
        <w:t>Overview of the Annual Performance Report Development:</w:t>
      </w:r>
    </w:p>
    <w:p w:rsidR="00362875" w:rsidRPr="00771904" w:rsidRDefault="00362875" w:rsidP="00362875">
      <w:pPr>
        <w:spacing w:after="120"/>
        <w:rPr>
          <w:rFonts w:cs="Arial"/>
          <w:szCs w:val="22"/>
        </w:rPr>
      </w:pPr>
      <w:r w:rsidRPr="00771904">
        <w:rPr>
          <w:rFonts w:cs="Arial"/>
          <w:szCs w:val="22"/>
        </w:rPr>
        <w:t>Same process as described in Indicator #1.</w:t>
      </w:r>
    </w:p>
    <w:p w:rsidR="007009EF" w:rsidRPr="00771904" w:rsidRDefault="00C15B26" w:rsidP="00362875">
      <w:pPr>
        <w:jc w:val="center"/>
        <w:rPr>
          <w:rFonts w:cs="Arial"/>
          <w:b/>
          <w:szCs w:val="22"/>
        </w:rPr>
      </w:pPr>
      <w:r w:rsidRPr="00771904">
        <w:rPr>
          <w:rFonts w:cs="Arial"/>
          <w:b/>
          <w:szCs w:val="22"/>
        </w:rPr>
        <w:t>Early Childhood Outcomes Center</w:t>
      </w:r>
      <w:r w:rsidR="00362875" w:rsidRPr="00771904">
        <w:rPr>
          <w:rFonts w:cs="Arial"/>
          <w:b/>
          <w:szCs w:val="22"/>
        </w:rPr>
        <w:t xml:space="preserve"> Suggested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E74E4" w:rsidRPr="00771904" w:rsidTr="005508F3">
        <w:tc>
          <w:tcPr>
            <w:tcW w:w="9648" w:type="dxa"/>
          </w:tcPr>
          <w:p w:rsidR="006E74E4" w:rsidRPr="00771904" w:rsidRDefault="006E74E4">
            <w:pPr>
              <w:spacing w:before="240" w:after="240"/>
              <w:ind w:left="1980" w:hanging="1980"/>
              <w:rPr>
                <w:rFonts w:cs="Arial"/>
                <w:b/>
                <w:color w:val="000000"/>
                <w:sz w:val="20"/>
                <w:szCs w:val="20"/>
              </w:rPr>
            </w:pPr>
            <w:r w:rsidRPr="00771904">
              <w:rPr>
                <w:rFonts w:cs="Arial"/>
                <w:b/>
                <w:color w:val="000000"/>
                <w:sz w:val="20"/>
                <w:szCs w:val="20"/>
              </w:rPr>
              <w:t>Monitoring Priority:</w:t>
            </w:r>
            <w:r w:rsidRPr="00771904">
              <w:rPr>
                <w:rFonts w:cs="Arial"/>
                <w:b/>
                <w:color w:val="000000"/>
                <w:sz w:val="20"/>
              </w:rPr>
              <w:t xml:space="preserve"> Early Intervention Services In Natural Environments</w:t>
            </w:r>
          </w:p>
        </w:tc>
      </w:tr>
      <w:tr w:rsidR="005508F3" w:rsidRPr="00771904" w:rsidTr="005508F3">
        <w:tc>
          <w:tcPr>
            <w:tcW w:w="9648" w:type="dxa"/>
          </w:tcPr>
          <w:p w:rsidR="005508F3" w:rsidRPr="00771904" w:rsidRDefault="005508F3" w:rsidP="005508F3">
            <w:pPr>
              <w:pStyle w:val="Header"/>
              <w:tabs>
                <w:tab w:val="clear" w:pos="4320"/>
                <w:tab w:val="clear" w:pos="8640"/>
              </w:tabs>
              <w:spacing w:before="120" w:after="120"/>
              <w:rPr>
                <w:rFonts w:cs="Arial"/>
                <w:color w:val="000000"/>
                <w:sz w:val="20"/>
              </w:rPr>
            </w:pPr>
            <w:r w:rsidRPr="00771904">
              <w:rPr>
                <w:rFonts w:cs="Arial"/>
                <w:b/>
                <w:color w:val="000000"/>
                <w:sz w:val="20"/>
                <w:szCs w:val="20"/>
              </w:rPr>
              <w:t>Indicator 3:</w:t>
            </w:r>
            <w:r w:rsidRPr="00771904">
              <w:rPr>
                <w:rFonts w:cs="Arial"/>
                <w:color w:val="000000"/>
              </w:rPr>
              <w:t xml:space="preserve">  </w:t>
            </w:r>
            <w:r w:rsidRPr="00771904">
              <w:rPr>
                <w:rFonts w:cs="Arial"/>
                <w:color w:val="000000"/>
                <w:sz w:val="20"/>
              </w:rPr>
              <w:t>Percent of infants and toddlers with IFSPs who demonstrate improved:</w:t>
            </w:r>
          </w:p>
          <w:p w:rsidR="005508F3" w:rsidRPr="00771904" w:rsidRDefault="005508F3" w:rsidP="005508F3">
            <w:pPr>
              <w:pStyle w:val="Header"/>
              <w:tabs>
                <w:tab w:val="clear" w:pos="4320"/>
                <w:tab w:val="clear" w:pos="8640"/>
                <w:tab w:val="num" w:pos="2880"/>
              </w:tabs>
              <w:spacing w:before="120"/>
              <w:ind w:left="360"/>
              <w:rPr>
                <w:rFonts w:cs="Arial"/>
                <w:color w:val="000000"/>
                <w:sz w:val="20"/>
              </w:rPr>
            </w:pPr>
            <w:r w:rsidRPr="00771904">
              <w:rPr>
                <w:rFonts w:cs="Arial"/>
                <w:color w:val="000000"/>
                <w:sz w:val="20"/>
              </w:rPr>
              <w:t xml:space="preserve">A.  Positive social-emotional skills (including social relationships); </w:t>
            </w:r>
          </w:p>
          <w:p w:rsidR="005508F3" w:rsidRPr="00771904" w:rsidRDefault="005508F3" w:rsidP="005508F3">
            <w:pPr>
              <w:pStyle w:val="Header"/>
              <w:tabs>
                <w:tab w:val="clear" w:pos="4320"/>
                <w:tab w:val="clear" w:pos="8640"/>
                <w:tab w:val="num" w:pos="2880"/>
              </w:tabs>
              <w:ind w:left="360"/>
              <w:rPr>
                <w:rFonts w:cs="Arial"/>
                <w:color w:val="000000"/>
                <w:sz w:val="20"/>
              </w:rPr>
            </w:pPr>
            <w:r w:rsidRPr="00771904">
              <w:rPr>
                <w:rFonts w:cs="Arial"/>
                <w:color w:val="000000"/>
                <w:sz w:val="20"/>
              </w:rPr>
              <w:t xml:space="preserve">B.  Acquisition and use of knowledge and skills (including early language/ communication); and </w:t>
            </w:r>
          </w:p>
          <w:p w:rsidR="005508F3" w:rsidRPr="00771904" w:rsidRDefault="005508F3" w:rsidP="005508F3">
            <w:pPr>
              <w:pStyle w:val="Header"/>
              <w:tabs>
                <w:tab w:val="clear" w:pos="4320"/>
                <w:tab w:val="clear" w:pos="8640"/>
                <w:tab w:val="num" w:pos="2880"/>
              </w:tabs>
              <w:ind w:left="360"/>
              <w:rPr>
                <w:rFonts w:cs="Arial"/>
                <w:color w:val="000000"/>
                <w:sz w:val="20"/>
              </w:rPr>
            </w:pPr>
            <w:r w:rsidRPr="00771904">
              <w:rPr>
                <w:rFonts w:cs="Arial"/>
                <w:color w:val="000000"/>
                <w:sz w:val="20"/>
              </w:rPr>
              <w:t>C.  Use of appropriate behaviors to meet their needs.</w:t>
            </w:r>
          </w:p>
          <w:p w:rsidR="005508F3" w:rsidRPr="00771904" w:rsidRDefault="005508F3" w:rsidP="005508F3">
            <w:pPr>
              <w:ind w:left="1440" w:hanging="1440"/>
              <w:rPr>
                <w:rFonts w:cs="Arial"/>
                <w:color w:val="000000"/>
                <w:sz w:val="20"/>
              </w:rPr>
            </w:pPr>
            <w:r w:rsidRPr="00771904">
              <w:rPr>
                <w:rFonts w:cs="Arial"/>
                <w:color w:val="000000"/>
                <w:sz w:val="20"/>
              </w:rPr>
              <w:t>(20 U.S.C. 1416(a)(3)(A) and 1442)</w:t>
            </w:r>
          </w:p>
        </w:tc>
      </w:tr>
    </w:tbl>
    <w:p w:rsidR="007940C0" w:rsidRPr="00771904" w:rsidRDefault="007940C0">
      <w:pPr>
        <w:pStyle w:val="Header"/>
        <w:tabs>
          <w:tab w:val="clear" w:pos="4320"/>
          <w:tab w:val="clear" w:pos="8640"/>
          <w:tab w:val="num" w:pos="2880"/>
        </w:tabs>
        <w:ind w:left="360"/>
        <w:rPr>
          <w:rFonts w:cs="Arial"/>
          <w:color w:val="000000"/>
          <w:sz w:val="20"/>
        </w:rPr>
      </w:pPr>
      <w:bookmarkStart w:id="3" w:name="ind3"/>
      <w:bookmarkEnd w:id="3"/>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6E74E4" w:rsidRPr="00771904" w:rsidTr="00A8228E">
        <w:trPr>
          <w:trHeight w:val="989"/>
        </w:trPr>
        <w:tc>
          <w:tcPr>
            <w:tcW w:w="9630" w:type="dxa"/>
          </w:tcPr>
          <w:p w:rsidR="007940C0" w:rsidRPr="00771904" w:rsidRDefault="007940C0" w:rsidP="009639BE">
            <w:pPr>
              <w:pStyle w:val="Header"/>
              <w:rPr>
                <w:rFonts w:cs="Arial"/>
                <w:color w:val="000000"/>
                <w:sz w:val="20"/>
                <w:szCs w:val="20"/>
              </w:rPr>
            </w:pPr>
            <w:r w:rsidRPr="00771904">
              <w:rPr>
                <w:rFonts w:cs="Arial"/>
                <w:b/>
                <w:color w:val="000000"/>
                <w:sz w:val="20"/>
                <w:szCs w:val="20"/>
              </w:rPr>
              <w:t>Measurement:</w:t>
            </w:r>
            <w:r w:rsidRPr="00771904">
              <w:rPr>
                <w:rFonts w:cs="Arial"/>
                <w:color w:val="000000"/>
                <w:sz w:val="20"/>
                <w:szCs w:val="20"/>
              </w:rPr>
              <w:t xml:space="preserve"> </w:t>
            </w:r>
          </w:p>
          <w:p w:rsidR="007940C0" w:rsidRPr="00771904" w:rsidRDefault="007940C0" w:rsidP="00674659">
            <w:pPr>
              <w:pStyle w:val="Header"/>
              <w:tabs>
                <w:tab w:val="clear" w:pos="4320"/>
                <w:tab w:val="clear" w:pos="8640"/>
              </w:tabs>
              <w:ind w:left="342"/>
              <w:rPr>
                <w:rFonts w:cs="Arial"/>
                <w:color w:val="000000"/>
                <w:sz w:val="20"/>
                <w:szCs w:val="20"/>
              </w:rPr>
            </w:pPr>
            <w:r w:rsidRPr="00771904">
              <w:rPr>
                <w:rFonts w:cs="Arial"/>
                <w:color w:val="000000"/>
                <w:sz w:val="20"/>
                <w:szCs w:val="20"/>
              </w:rPr>
              <w:t>Outcomes:</w:t>
            </w:r>
          </w:p>
          <w:p w:rsidR="007940C0" w:rsidRPr="00771904" w:rsidRDefault="007940C0" w:rsidP="00BB59EA">
            <w:pPr>
              <w:pStyle w:val="Header"/>
              <w:numPr>
                <w:ilvl w:val="0"/>
                <w:numId w:val="17"/>
              </w:numPr>
              <w:tabs>
                <w:tab w:val="clear" w:pos="4320"/>
                <w:tab w:val="clear" w:pos="8640"/>
              </w:tabs>
              <w:ind w:left="342"/>
              <w:rPr>
                <w:rFonts w:cs="Arial"/>
                <w:color w:val="000000"/>
                <w:sz w:val="20"/>
                <w:szCs w:val="20"/>
              </w:rPr>
            </w:pPr>
            <w:r w:rsidRPr="00771904">
              <w:rPr>
                <w:rFonts w:cs="Arial"/>
                <w:color w:val="000000"/>
                <w:sz w:val="20"/>
                <w:szCs w:val="20"/>
              </w:rPr>
              <w:t>Positive social-emotional skills (including social relationships);</w:t>
            </w:r>
          </w:p>
          <w:p w:rsidR="007940C0" w:rsidRPr="00771904" w:rsidRDefault="007940C0" w:rsidP="00BB59EA">
            <w:pPr>
              <w:pStyle w:val="Header"/>
              <w:numPr>
                <w:ilvl w:val="0"/>
                <w:numId w:val="17"/>
              </w:numPr>
              <w:tabs>
                <w:tab w:val="clear" w:pos="4320"/>
                <w:tab w:val="clear" w:pos="8640"/>
              </w:tabs>
              <w:ind w:left="342"/>
              <w:rPr>
                <w:rFonts w:cs="Arial"/>
                <w:color w:val="000000"/>
                <w:sz w:val="20"/>
                <w:szCs w:val="20"/>
              </w:rPr>
            </w:pPr>
            <w:r w:rsidRPr="00771904">
              <w:rPr>
                <w:rFonts w:cs="Arial"/>
                <w:color w:val="000000"/>
                <w:sz w:val="20"/>
                <w:szCs w:val="20"/>
              </w:rPr>
              <w:t xml:space="preserve">Acquisition and use of knowledge and skills (including early language/communication); and </w:t>
            </w:r>
          </w:p>
          <w:p w:rsidR="007940C0" w:rsidRPr="00771904" w:rsidRDefault="007940C0" w:rsidP="00BB59EA">
            <w:pPr>
              <w:pStyle w:val="Header"/>
              <w:numPr>
                <w:ilvl w:val="0"/>
                <w:numId w:val="17"/>
              </w:numPr>
              <w:tabs>
                <w:tab w:val="clear" w:pos="4320"/>
                <w:tab w:val="clear" w:pos="8640"/>
              </w:tabs>
              <w:ind w:left="342"/>
              <w:rPr>
                <w:rFonts w:cs="Arial"/>
                <w:color w:val="000000"/>
                <w:sz w:val="20"/>
                <w:szCs w:val="20"/>
              </w:rPr>
            </w:pPr>
            <w:r w:rsidRPr="00771904">
              <w:rPr>
                <w:rFonts w:cs="Arial"/>
                <w:color w:val="000000"/>
                <w:sz w:val="20"/>
                <w:szCs w:val="20"/>
              </w:rPr>
              <w:t>Use of appropriate behaviors to meet their needs.</w:t>
            </w:r>
          </w:p>
          <w:p w:rsidR="007940C0" w:rsidRPr="00771904" w:rsidRDefault="007940C0" w:rsidP="00674659">
            <w:pPr>
              <w:pStyle w:val="Header"/>
              <w:ind w:left="342" w:hanging="360"/>
              <w:rPr>
                <w:rFonts w:cs="Arial"/>
                <w:color w:val="000000"/>
                <w:sz w:val="20"/>
                <w:szCs w:val="20"/>
              </w:rPr>
            </w:pPr>
            <w:r w:rsidRPr="00771904">
              <w:rPr>
                <w:rFonts w:cs="Arial"/>
                <w:color w:val="000000"/>
                <w:sz w:val="20"/>
                <w:szCs w:val="20"/>
              </w:rPr>
              <w:t>Progress categories for A, B and C:</w:t>
            </w:r>
          </w:p>
          <w:p w:rsidR="007940C0" w:rsidRPr="00771904" w:rsidRDefault="007940C0" w:rsidP="00674659">
            <w:pPr>
              <w:pStyle w:val="Header"/>
              <w:tabs>
                <w:tab w:val="clear" w:pos="4320"/>
              </w:tabs>
              <w:ind w:left="342" w:hanging="302"/>
              <w:rPr>
                <w:rFonts w:cs="Arial"/>
                <w:color w:val="000000"/>
                <w:sz w:val="20"/>
                <w:szCs w:val="20"/>
              </w:rPr>
            </w:pPr>
            <w:r w:rsidRPr="00771904">
              <w:rPr>
                <w:rFonts w:cs="Arial"/>
                <w:color w:val="000000"/>
                <w:sz w:val="20"/>
                <w:szCs w:val="20"/>
              </w:rPr>
              <w:t>a.</w:t>
            </w:r>
            <w:r w:rsidRPr="00771904">
              <w:rPr>
                <w:rFonts w:cs="Arial"/>
                <w:color w:val="000000"/>
                <w:sz w:val="20"/>
                <w:szCs w:val="20"/>
              </w:rPr>
              <w:tab/>
              <w:t>Percent of infants and toddlers who did not improve functioning = [(# of infants and toddlers</w:t>
            </w:r>
            <w:r w:rsidRPr="00771904">
              <w:rPr>
                <w:rFonts w:cs="Arial"/>
                <w:b/>
                <w:bCs/>
                <w:color w:val="000000"/>
                <w:sz w:val="20"/>
                <w:szCs w:val="20"/>
              </w:rPr>
              <w:t xml:space="preserve"> </w:t>
            </w:r>
            <w:r w:rsidRPr="00771904">
              <w:rPr>
                <w:rFonts w:cs="Arial"/>
                <w:color w:val="000000"/>
                <w:sz w:val="20"/>
                <w:szCs w:val="20"/>
              </w:rPr>
              <w:t>who did not improve functioning) divided by (# of infants and toddlers</w:t>
            </w:r>
            <w:r w:rsidRPr="00771904">
              <w:rPr>
                <w:rFonts w:cs="Arial"/>
                <w:b/>
                <w:bCs/>
                <w:color w:val="000000"/>
                <w:sz w:val="20"/>
                <w:szCs w:val="20"/>
              </w:rPr>
              <w:t xml:space="preserve"> </w:t>
            </w:r>
            <w:r w:rsidRPr="00771904">
              <w:rPr>
                <w:rFonts w:cs="Arial"/>
                <w:color w:val="000000"/>
                <w:sz w:val="20"/>
                <w:szCs w:val="20"/>
              </w:rPr>
              <w:t xml:space="preserve">with </w:t>
            </w:r>
            <w:r w:rsidRPr="00771904">
              <w:rPr>
                <w:rFonts w:cs="Arial"/>
                <w:bCs/>
                <w:color w:val="000000"/>
                <w:sz w:val="20"/>
                <w:szCs w:val="20"/>
              </w:rPr>
              <w:t>IFSPs</w:t>
            </w:r>
            <w:r w:rsidRPr="00771904">
              <w:rPr>
                <w:rFonts w:cs="Arial"/>
                <w:color w:val="000000"/>
                <w:sz w:val="20"/>
                <w:szCs w:val="20"/>
              </w:rPr>
              <w:t xml:space="preserve"> assessed)] times 100.</w:t>
            </w:r>
          </w:p>
          <w:p w:rsidR="007940C0" w:rsidRPr="00771904" w:rsidRDefault="007940C0" w:rsidP="00674659">
            <w:pPr>
              <w:pStyle w:val="BodyText"/>
              <w:ind w:left="342" w:hanging="302"/>
              <w:rPr>
                <w:rFonts w:cs="Arial"/>
                <w:b w:val="0"/>
                <w:color w:val="000000"/>
                <w:sz w:val="20"/>
                <w:u w:val="none"/>
              </w:rPr>
            </w:pPr>
            <w:r w:rsidRPr="00771904">
              <w:rPr>
                <w:rFonts w:cs="Arial"/>
                <w:b w:val="0"/>
                <w:color w:val="000000"/>
                <w:sz w:val="20"/>
                <w:u w:val="none"/>
              </w:rPr>
              <w:t>b.</w:t>
            </w:r>
            <w:r w:rsidRPr="00771904">
              <w:rPr>
                <w:rFonts w:cs="Arial"/>
                <w:b w:val="0"/>
                <w:color w:val="000000"/>
                <w:sz w:val="20"/>
                <w:u w:val="none"/>
              </w:rPr>
              <w:tab/>
              <w:t xml:space="preserve">Percent of infants and toddlers who improved functioning but not sufficient to move nearer to functioning comparable to same-aged peers = [(# of infants and toddlers who improved functioning but not sufficient to move nearer to functioning comparable to same-aged peers) </w:t>
            </w:r>
            <w:r w:rsidRPr="00771904">
              <w:rPr>
                <w:rFonts w:cs="Arial"/>
                <w:b w:val="0"/>
                <w:bCs/>
                <w:color w:val="000000"/>
                <w:sz w:val="20"/>
                <w:u w:val="none"/>
              </w:rPr>
              <w:t xml:space="preserve">divided by </w:t>
            </w:r>
            <w:r w:rsidRPr="00771904">
              <w:rPr>
                <w:rFonts w:cs="Arial"/>
                <w:b w:val="0"/>
                <w:color w:val="000000"/>
                <w:sz w:val="20"/>
                <w:u w:val="none"/>
              </w:rPr>
              <w:t xml:space="preserve">(# of </w:t>
            </w:r>
            <w:r w:rsidRPr="00771904">
              <w:rPr>
                <w:rFonts w:cs="Arial"/>
                <w:b w:val="0"/>
                <w:bCs/>
                <w:color w:val="000000"/>
                <w:sz w:val="20"/>
                <w:u w:val="none"/>
              </w:rPr>
              <w:t xml:space="preserve">infants and toddlers </w:t>
            </w:r>
            <w:r w:rsidRPr="00771904">
              <w:rPr>
                <w:rFonts w:cs="Arial"/>
                <w:b w:val="0"/>
                <w:color w:val="000000"/>
                <w:sz w:val="20"/>
                <w:u w:val="none"/>
              </w:rPr>
              <w:t>with IFSPs assessed)] times 100.</w:t>
            </w:r>
          </w:p>
          <w:p w:rsidR="007940C0" w:rsidRPr="00771904" w:rsidRDefault="007940C0" w:rsidP="00674659">
            <w:pPr>
              <w:pStyle w:val="BodyText"/>
              <w:ind w:left="342" w:hanging="302"/>
              <w:rPr>
                <w:rFonts w:cs="Arial"/>
                <w:b w:val="0"/>
                <w:color w:val="000000"/>
                <w:sz w:val="20"/>
                <w:u w:val="none"/>
              </w:rPr>
            </w:pPr>
            <w:r w:rsidRPr="00771904">
              <w:rPr>
                <w:rFonts w:cs="Arial"/>
                <w:b w:val="0"/>
                <w:color w:val="000000"/>
                <w:sz w:val="20"/>
                <w:u w:val="none"/>
              </w:rPr>
              <w:t>c.</w:t>
            </w:r>
            <w:r w:rsidRPr="00771904">
              <w:rPr>
                <w:rFonts w:cs="Arial"/>
                <w:b w:val="0"/>
                <w:color w:val="000000"/>
                <w:sz w:val="20"/>
                <w:u w:val="none"/>
              </w:rPr>
              <w:tab/>
              <w:t xml:space="preserve">Percent of infants and toddlers who improved functioning to a level nearer to same-aged peers but did not reach it = [(# of infants and toddlers who improved functioning to a level nearer to same-aged peers but did not reach it) </w:t>
            </w:r>
            <w:r w:rsidRPr="00771904">
              <w:rPr>
                <w:rFonts w:cs="Arial"/>
                <w:b w:val="0"/>
                <w:bCs/>
                <w:color w:val="000000"/>
                <w:sz w:val="20"/>
                <w:u w:val="none"/>
              </w:rPr>
              <w:t>divided by</w:t>
            </w:r>
            <w:r w:rsidRPr="00771904">
              <w:rPr>
                <w:rFonts w:cs="Arial"/>
                <w:b w:val="0"/>
                <w:color w:val="000000"/>
                <w:sz w:val="20"/>
                <w:u w:val="none"/>
              </w:rPr>
              <w:t xml:space="preserve"> </w:t>
            </w:r>
            <w:r w:rsidRPr="00771904">
              <w:rPr>
                <w:rFonts w:cs="Arial"/>
                <w:b w:val="0"/>
                <w:bCs/>
                <w:color w:val="000000"/>
                <w:sz w:val="20"/>
                <w:u w:val="none"/>
              </w:rPr>
              <w:t>(</w:t>
            </w:r>
            <w:r w:rsidRPr="00771904">
              <w:rPr>
                <w:rFonts w:cs="Arial"/>
                <w:b w:val="0"/>
                <w:color w:val="000000"/>
                <w:sz w:val="20"/>
                <w:u w:val="none"/>
              </w:rPr>
              <w:t xml:space="preserve"># of </w:t>
            </w:r>
            <w:r w:rsidRPr="00771904">
              <w:rPr>
                <w:rFonts w:cs="Arial"/>
                <w:b w:val="0"/>
                <w:bCs/>
                <w:color w:val="000000"/>
                <w:sz w:val="20"/>
                <w:u w:val="none"/>
              </w:rPr>
              <w:t xml:space="preserve">infants and toddlers </w:t>
            </w:r>
            <w:r w:rsidRPr="00771904">
              <w:rPr>
                <w:rFonts w:cs="Arial"/>
                <w:b w:val="0"/>
                <w:color w:val="000000"/>
                <w:sz w:val="20"/>
                <w:u w:val="none"/>
              </w:rPr>
              <w:t>with IFSPs assessed)] times 100.</w:t>
            </w:r>
          </w:p>
          <w:p w:rsidR="007940C0" w:rsidRPr="00771904" w:rsidRDefault="007940C0" w:rsidP="00674659">
            <w:pPr>
              <w:pStyle w:val="BodyText"/>
              <w:ind w:left="342" w:hanging="302"/>
              <w:rPr>
                <w:rFonts w:cs="Arial"/>
                <w:b w:val="0"/>
                <w:color w:val="000000"/>
                <w:sz w:val="20"/>
                <w:u w:val="none"/>
              </w:rPr>
            </w:pPr>
            <w:r w:rsidRPr="00771904">
              <w:rPr>
                <w:rFonts w:cs="Arial"/>
                <w:b w:val="0"/>
                <w:color w:val="000000"/>
                <w:sz w:val="20"/>
                <w:u w:val="none"/>
              </w:rPr>
              <w:t>d.</w:t>
            </w:r>
            <w:r w:rsidRPr="00771904">
              <w:rPr>
                <w:rFonts w:cs="Arial"/>
                <w:b w:val="0"/>
                <w:color w:val="000000"/>
                <w:sz w:val="20"/>
                <w:u w:val="none"/>
              </w:rPr>
              <w:tab/>
              <w:t xml:space="preserve">Percent of infants and toddlers who improved functioning to reach a level comparable to same-aged peers = [(# of </w:t>
            </w:r>
            <w:r w:rsidRPr="00771904">
              <w:rPr>
                <w:rFonts w:cs="Arial"/>
                <w:b w:val="0"/>
                <w:bCs/>
                <w:color w:val="000000"/>
                <w:sz w:val="20"/>
                <w:u w:val="none"/>
              </w:rPr>
              <w:t xml:space="preserve">infants and toddlers </w:t>
            </w:r>
            <w:r w:rsidRPr="00771904">
              <w:rPr>
                <w:rFonts w:cs="Arial"/>
                <w:b w:val="0"/>
                <w:color w:val="000000"/>
                <w:sz w:val="20"/>
                <w:u w:val="none"/>
              </w:rPr>
              <w:t xml:space="preserve">who improved functioning to reach a level comparable to same-aged peers) </w:t>
            </w:r>
            <w:r w:rsidRPr="00771904">
              <w:rPr>
                <w:rFonts w:cs="Arial"/>
                <w:b w:val="0"/>
                <w:bCs/>
                <w:color w:val="000000"/>
                <w:sz w:val="20"/>
                <w:u w:val="none"/>
              </w:rPr>
              <w:t>divided by (</w:t>
            </w:r>
            <w:r w:rsidRPr="00771904">
              <w:rPr>
                <w:rFonts w:cs="Arial"/>
                <w:b w:val="0"/>
                <w:color w:val="000000"/>
                <w:sz w:val="20"/>
                <w:u w:val="none"/>
              </w:rPr>
              <w:t># of infants and toddlers with IFSPs assessed)] times 100.</w:t>
            </w:r>
          </w:p>
          <w:p w:rsidR="007940C0" w:rsidRPr="00771904" w:rsidRDefault="007940C0" w:rsidP="00674659">
            <w:pPr>
              <w:pStyle w:val="BodyText"/>
              <w:ind w:left="342" w:hanging="302"/>
              <w:rPr>
                <w:rFonts w:cs="Arial"/>
                <w:b w:val="0"/>
                <w:color w:val="000000"/>
                <w:sz w:val="20"/>
                <w:u w:val="none"/>
              </w:rPr>
            </w:pPr>
            <w:r w:rsidRPr="00771904">
              <w:rPr>
                <w:rFonts w:cs="Arial"/>
                <w:b w:val="0"/>
                <w:color w:val="000000"/>
                <w:sz w:val="20"/>
                <w:u w:val="none"/>
              </w:rPr>
              <w:t>e.</w:t>
            </w:r>
            <w:r w:rsidRPr="00771904">
              <w:rPr>
                <w:rFonts w:cs="Arial"/>
                <w:b w:val="0"/>
                <w:color w:val="000000"/>
                <w:sz w:val="20"/>
                <w:u w:val="none"/>
              </w:rPr>
              <w:tab/>
              <w:t>Percent of infants and toddlers who maintained functioning at a level comparable to same-aged peers = [(# of infants and toddlers who maintained functioning at a level comparable to same-aged peers) divided by (# of infants and toddlers with IFSPs assessed)] times 100.</w:t>
            </w:r>
          </w:p>
          <w:p w:rsidR="00362875" w:rsidRPr="00771904" w:rsidRDefault="00362875" w:rsidP="009639BE">
            <w:pPr>
              <w:rPr>
                <w:rFonts w:cs="Arial"/>
                <w:b/>
                <w:color w:val="000000"/>
                <w:sz w:val="20"/>
                <w:szCs w:val="20"/>
              </w:rPr>
            </w:pPr>
          </w:p>
          <w:p w:rsidR="007940C0" w:rsidRPr="00771904" w:rsidRDefault="007940C0" w:rsidP="009639BE">
            <w:pPr>
              <w:rPr>
                <w:rFonts w:cs="Arial"/>
                <w:b/>
                <w:color w:val="000000"/>
                <w:sz w:val="20"/>
                <w:szCs w:val="20"/>
              </w:rPr>
            </w:pPr>
            <w:r w:rsidRPr="00771904">
              <w:rPr>
                <w:rFonts w:cs="Arial"/>
                <w:b/>
                <w:color w:val="000000"/>
                <w:sz w:val="20"/>
                <w:szCs w:val="20"/>
              </w:rPr>
              <w:t>Summary Statements for Each of the Three Out</w:t>
            </w:r>
            <w:r w:rsidR="007009EF" w:rsidRPr="00771904">
              <w:rPr>
                <w:rFonts w:cs="Arial"/>
                <w:b/>
                <w:color w:val="000000"/>
                <w:sz w:val="20"/>
                <w:szCs w:val="20"/>
              </w:rPr>
              <w:t xml:space="preserve">comes (use for </w:t>
            </w:r>
            <w:r w:rsidR="001F2FCB" w:rsidRPr="00771904">
              <w:rPr>
                <w:rFonts w:cs="Arial"/>
                <w:b/>
                <w:color w:val="000000"/>
                <w:sz w:val="20"/>
                <w:szCs w:val="20"/>
              </w:rPr>
              <w:t>FFY 201</w:t>
            </w:r>
            <w:r w:rsidR="00602EE8" w:rsidRPr="00771904">
              <w:rPr>
                <w:rFonts w:cs="Arial"/>
                <w:b/>
                <w:color w:val="000000"/>
                <w:sz w:val="20"/>
                <w:szCs w:val="20"/>
              </w:rPr>
              <w:t>2</w:t>
            </w:r>
            <w:r w:rsidRPr="00771904">
              <w:rPr>
                <w:rFonts w:cs="Arial"/>
                <w:b/>
                <w:color w:val="000000"/>
                <w:sz w:val="20"/>
                <w:szCs w:val="20"/>
              </w:rPr>
              <w:t>-20</w:t>
            </w:r>
            <w:r w:rsidR="00602EE8" w:rsidRPr="00771904">
              <w:rPr>
                <w:rFonts w:cs="Arial"/>
                <w:b/>
                <w:color w:val="000000"/>
                <w:sz w:val="20"/>
                <w:szCs w:val="20"/>
              </w:rPr>
              <w:t>13</w:t>
            </w:r>
            <w:r w:rsidRPr="00771904">
              <w:rPr>
                <w:rFonts w:cs="Arial"/>
                <w:b/>
                <w:color w:val="000000"/>
                <w:sz w:val="20"/>
                <w:szCs w:val="20"/>
              </w:rPr>
              <w:t xml:space="preserve"> reporting):</w:t>
            </w:r>
          </w:p>
          <w:p w:rsidR="007940C0" w:rsidRPr="00771904" w:rsidRDefault="007940C0" w:rsidP="009639BE">
            <w:pPr>
              <w:autoSpaceDE w:val="0"/>
              <w:autoSpaceDN w:val="0"/>
              <w:adjustRightInd w:val="0"/>
              <w:rPr>
                <w:rFonts w:cs="Arial"/>
                <w:color w:val="000000"/>
                <w:sz w:val="20"/>
                <w:szCs w:val="20"/>
              </w:rPr>
            </w:pPr>
            <w:r w:rsidRPr="00771904">
              <w:rPr>
                <w:rFonts w:cs="Arial"/>
                <w:b/>
                <w:color w:val="000000"/>
                <w:sz w:val="20"/>
                <w:szCs w:val="20"/>
              </w:rPr>
              <w:t>Summary Statement 1:</w:t>
            </w:r>
            <w:r w:rsidRPr="00771904">
              <w:rPr>
                <w:rFonts w:cs="Arial"/>
                <w:color w:val="000000"/>
                <w:sz w:val="20"/>
                <w:szCs w:val="20"/>
              </w:rPr>
              <w:t xml:space="preserve">  Of those infants and toddlers who entered or exited early intervention below age expectations in each Outcome, the percent who substantially increased their rate of growth by the time they turned 3 years of age or exited the program.</w:t>
            </w:r>
          </w:p>
          <w:p w:rsidR="007940C0" w:rsidRPr="00771904" w:rsidRDefault="007940C0" w:rsidP="009639BE">
            <w:pPr>
              <w:rPr>
                <w:rFonts w:cs="Arial"/>
                <w:b/>
                <w:color w:val="000000"/>
                <w:sz w:val="20"/>
                <w:szCs w:val="20"/>
              </w:rPr>
            </w:pPr>
            <w:r w:rsidRPr="00771904">
              <w:rPr>
                <w:rFonts w:cs="Arial"/>
                <w:b/>
                <w:color w:val="000000"/>
                <w:sz w:val="20"/>
                <w:szCs w:val="20"/>
              </w:rPr>
              <w:t>Measurement for Summary Statement 1:</w:t>
            </w:r>
          </w:p>
          <w:p w:rsidR="007940C0" w:rsidRPr="00771904" w:rsidRDefault="007940C0" w:rsidP="009639BE">
            <w:pPr>
              <w:rPr>
                <w:rFonts w:cs="Arial"/>
                <w:color w:val="000000"/>
                <w:sz w:val="20"/>
                <w:szCs w:val="20"/>
              </w:rPr>
            </w:pPr>
            <w:r w:rsidRPr="00771904">
              <w:rPr>
                <w:rFonts w:cs="Arial"/>
                <w:color w:val="000000"/>
                <w:sz w:val="20"/>
                <w:szCs w:val="20"/>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rsidR="00362875" w:rsidRPr="00771904" w:rsidRDefault="00362875" w:rsidP="009639BE">
            <w:pPr>
              <w:rPr>
                <w:rFonts w:cs="Arial"/>
                <w:b/>
                <w:color w:val="000000"/>
                <w:sz w:val="20"/>
                <w:szCs w:val="20"/>
              </w:rPr>
            </w:pPr>
          </w:p>
          <w:p w:rsidR="007940C0" w:rsidRPr="00771904" w:rsidRDefault="007940C0" w:rsidP="009639BE">
            <w:pPr>
              <w:rPr>
                <w:rFonts w:cs="Arial"/>
                <w:color w:val="000000"/>
                <w:sz w:val="20"/>
                <w:szCs w:val="20"/>
              </w:rPr>
            </w:pPr>
            <w:r w:rsidRPr="00771904">
              <w:rPr>
                <w:rFonts w:cs="Arial"/>
                <w:b/>
                <w:color w:val="000000"/>
                <w:sz w:val="20"/>
                <w:szCs w:val="20"/>
              </w:rPr>
              <w:t>Summary Statement 2:</w:t>
            </w:r>
            <w:r w:rsidRPr="00771904">
              <w:rPr>
                <w:rFonts w:cs="Arial"/>
                <w:color w:val="000000"/>
                <w:sz w:val="20"/>
                <w:szCs w:val="20"/>
              </w:rPr>
              <w:t xml:space="preserve">  The percent of infants and toddlers who were functioning w</w:t>
            </w:r>
            <w:r w:rsidR="00581E36" w:rsidRPr="00771904">
              <w:rPr>
                <w:rFonts w:cs="Arial"/>
                <w:color w:val="000000"/>
                <w:sz w:val="20"/>
                <w:szCs w:val="20"/>
              </w:rPr>
              <w:t>ithin age expectations in each o</w:t>
            </w:r>
            <w:r w:rsidRPr="00771904">
              <w:rPr>
                <w:rFonts w:cs="Arial"/>
                <w:color w:val="000000"/>
                <w:sz w:val="20"/>
                <w:szCs w:val="20"/>
              </w:rPr>
              <w:t>utcome by the time they turned 3 years of age or exited the program.</w:t>
            </w:r>
          </w:p>
          <w:p w:rsidR="007940C0" w:rsidRPr="00771904" w:rsidRDefault="007940C0" w:rsidP="009639BE">
            <w:pPr>
              <w:rPr>
                <w:rFonts w:cs="Arial"/>
                <w:b/>
                <w:color w:val="000000"/>
                <w:sz w:val="20"/>
              </w:rPr>
            </w:pPr>
            <w:r w:rsidRPr="00771904">
              <w:rPr>
                <w:rFonts w:cs="Arial"/>
                <w:b/>
                <w:color w:val="000000"/>
                <w:sz w:val="20"/>
              </w:rPr>
              <w:t xml:space="preserve">Measurement for Summary Statement 2:     </w:t>
            </w:r>
          </w:p>
          <w:p w:rsidR="007940C0" w:rsidRPr="00771904" w:rsidRDefault="007940C0" w:rsidP="009639BE">
            <w:pPr>
              <w:rPr>
                <w:rFonts w:cs="Arial"/>
                <w:color w:val="000000"/>
                <w:sz w:val="20"/>
                <w:szCs w:val="20"/>
              </w:rPr>
            </w:pPr>
            <w:r w:rsidRPr="00771904">
              <w:rPr>
                <w:rFonts w:cs="Arial"/>
                <w:color w:val="000000"/>
                <w:sz w:val="20"/>
              </w:rPr>
              <w:t>Percent = # of infants and toddlers reported in progress category (d) plus [# of infants and toddlers reported in progress category (e) divided by the total # of infants and toddlers reported in progress categories (a) + (b) + (c) + (d) + (e)] times 100.</w:t>
            </w:r>
          </w:p>
        </w:tc>
      </w:tr>
    </w:tbl>
    <w:p w:rsidR="00B5655E" w:rsidRPr="00771904" w:rsidRDefault="00B5655E" w:rsidP="00633432">
      <w:pPr>
        <w:rPr>
          <w:rFonts w:cs="Arial"/>
          <w:b/>
          <w:color w:val="000000"/>
          <w:szCs w:val="20"/>
        </w:rPr>
      </w:pPr>
    </w:p>
    <w:p w:rsidR="00D65E69" w:rsidRPr="00771904" w:rsidRDefault="003F1D02" w:rsidP="00633432">
      <w:pPr>
        <w:rPr>
          <w:rFonts w:cs="Arial"/>
          <w:b/>
          <w:color w:val="000000"/>
          <w:szCs w:val="20"/>
        </w:rPr>
      </w:pPr>
      <w:r w:rsidRPr="00771904">
        <w:rPr>
          <w:rFonts w:cs="Arial"/>
          <w:b/>
          <w:color w:val="000000"/>
          <w:szCs w:val="20"/>
        </w:rPr>
        <w:lastRenderedPageBreak/>
        <w:t>Target</w:t>
      </w:r>
      <w:r w:rsidR="00CD5F8A" w:rsidRPr="00771904">
        <w:rPr>
          <w:rFonts w:cs="Arial"/>
          <w:b/>
          <w:color w:val="000000"/>
          <w:szCs w:val="20"/>
        </w:rPr>
        <w:t xml:space="preserve"> Data </w:t>
      </w:r>
      <w:r w:rsidR="004C798B" w:rsidRPr="00771904">
        <w:rPr>
          <w:rFonts w:cs="Arial"/>
          <w:b/>
          <w:color w:val="000000"/>
          <w:szCs w:val="20"/>
        </w:rPr>
        <w:t xml:space="preserve">and Actual Target Data </w:t>
      </w:r>
      <w:r w:rsidR="00CD5F8A" w:rsidRPr="00771904">
        <w:rPr>
          <w:rFonts w:cs="Arial"/>
          <w:b/>
          <w:color w:val="000000"/>
          <w:szCs w:val="20"/>
        </w:rPr>
        <w:t xml:space="preserve">for </w:t>
      </w:r>
      <w:r w:rsidR="00FC6703" w:rsidRPr="00771904">
        <w:rPr>
          <w:rFonts w:cs="Arial"/>
          <w:b/>
          <w:color w:val="000000"/>
          <w:szCs w:val="20"/>
        </w:rPr>
        <w:t>FFY</w:t>
      </w:r>
      <w:r w:rsidR="000734F2" w:rsidRPr="00771904">
        <w:rPr>
          <w:rFonts w:cs="Arial"/>
          <w:b/>
          <w:color w:val="000000"/>
          <w:szCs w:val="20"/>
        </w:rPr>
        <w:t>20</w:t>
      </w:r>
      <w:r w:rsidR="009639BE" w:rsidRPr="00771904">
        <w:rPr>
          <w:rFonts w:cs="Arial"/>
          <w:b/>
          <w:color w:val="000000"/>
          <w:szCs w:val="20"/>
        </w:rPr>
        <w:t>1</w:t>
      </w:r>
      <w:r w:rsidR="00C02A8F" w:rsidRPr="00771904">
        <w:rPr>
          <w:rFonts w:cs="Arial"/>
          <w:b/>
          <w:color w:val="000000"/>
          <w:szCs w:val="20"/>
        </w:rPr>
        <w:t>2</w:t>
      </w:r>
      <w:r w:rsidR="00CD5F8A" w:rsidRPr="00771904">
        <w:rPr>
          <w:rFonts w:cs="Arial"/>
          <w:b/>
          <w:color w:val="000000"/>
          <w:szCs w:val="20"/>
        </w:rPr>
        <w:t xml:space="preserve"> </w:t>
      </w:r>
      <w:r w:rsidR="00FC6703" w:rsidRPr="00771904">
        <w:rPr>
          <w:rFonts w:cs="Arial"/>
          <w:b/>
          <w:color w:val="000000"/>
          <w:szCs w:val="20"/>
        </w:rPr>
        <w:t>(</w:t>
      </w:r>
      <w:r w:rsidR="00C02A8F" w:rsidRPr="00771904">
        <w:rPr>
          <w:rFonts w:cs="Arial"/>
          <w:b/>
          <w:color w:val="000000"/>
          <w:szCs w:val="20"/>
        </w:rPr>
        <w:t>July 1, 2012</w:t>
      </w:r>
      <w:r w:rsidR="005B1B42" w:rsidRPr="00771904">
        <w:rPr>
          <w:rFonts w:cs="Arial"/>
          <w:b/>
          <w:color w:val="000000"/>
          <w:szCs w:val="20"/>
        </w:rPr>
        <w:t>-June 30, 201</w:t>
      </w:r>
      <w:r w:rsidR="00C02A8F" w:rsidRPr="00771904">
        <w:rPr>
          <w:rFonts w:cs="Arial"/>
          <w:b/>
          <w:color w:val="000000"/>
          <w:szCs w:val="20"/>
        </w:rPr>
        <w:t>3</w:t>
      </w:r>
      <w:r w:rsidR="00FC6703" w:rsidRPr="00771904">
        <w:rPr>
          <w:rFonts w:cs="Arial"/>
          <w:b/>
          <w:color w:val="000000"/>
          <w:szCs w:val="20"/>
        </w:rPr>
        <w:t>):</w:t>
      </w:r>
    </w:p>
    <w:p w:rsidR="000578F5" w:rsidRPr="00771904" w:rsidRDefault="004C798B" w:rsidP="00633432">
      <w:pPr>
        <w:rPr>
          <w:rFonts w:cs="Arial"/>
          <w:b/>
          <w:color w:val="000000"/>
          <w:sz w:val="20"/>
          <w:szCs w:val="20"/>
        </w:rPr>
      </w:pPr>
      <w:r w:rsidRPr="00771904">
        <w:rPr>
          <w:rFonts w:cs="Arial"/>
          <w:color w:val="000000"/>
          <w:szCs w:val="22"/>
        </w:rPr>
        <w:t xml:space="preserve">Out of </w:t>
      </w:r>
      <w:r w:rsidR="000578F5" w:rsidRPr="00771904">
        <w:rPr>
          <w:rFonts w:cs="Arial"/>
          <w:color w:val="000000"/>
          <w:szCs w:val="22"/>
        </w:rPr>
        <w:t xml:space="preserve">the </w:t>
      </w:r>
      <w:r w:rsidR="007370E0" w:rsidRPr="00771904">
        <w:rPr>
          <w:rFonts w:eastAsia="Calibri" w:cs="Arial"/>
          <w:bCs/>
          <w:color w:val="000000"/>
          <w:szCs w:val="22"/>
        </w:rPr>
        <w:t>4339</w:t>
      </w:r>
      <w:r w:rsidRPr="00771904">
        <w:rPr>
          <w:rFonts w:cs="Arial"/>
          <w:color w:val="000000"/>
          <w:szCs w:val="22"/>
        </w:rPr>
        <w:t xml:space="preserve"> children who exited </w:t>
      </w:r>
      <w:r w:rsidR="000578F5" w:rsidRPr="00771904">
        <w:rPr>
          <w:rFonts w:cs="Arial"/>
          <w:color w:val="000000"/>
          <w:szCs w:val="22"/>
        </w:rPr>
        <w:t xml:space="preserve">during </w:t>
      </w:r>
      <w:r w:rsidRPr="00771904">
        <w:rPr>
          <w:rFonts w:cs="Arial"/>
          <w:color w:val="000000"/>
          <w:szCs w:val="22"/>
        </w:rPr>
        <w:t>the ‘1</w:t>
      </w:r>
      <w:r w:rsidR="00C02A8F" w:rsidRPr="00771904">
        <w:rPr>
          <w:rFonts w:cs="Arial"/>
          <w:color w:val="000000"/>
          <w:szCs w:val="22"/>
        </w:rPr>
        <w:t>2</w:t>
      </w:r>
      <w:r w:rsidR="009639BE" w:rsidRPr="00771904">
        <w:rPr>
          <w:rFonts w:cs="Arial"/>
          <w:color w:val="000000"/>
          <w:szCs w:val="22"/>
        </w:rPr>
        <w:t>-’1</w:t>
      </w:r>
      <w:r w:rsidR="00C02A8F" w:rsidRPr="00771904">
        <w:rPr>
          <w:rFonts w:cs="Arial"/>
          <w:color w:val="000000"/>
          <w:szCs w:val="22"/>
        </w:rPr>
        <w:t>3</w:t>
      </w:r>
      <w:r w:rsidRPr="00771904">
        <w:rPr>
          <w:rFonts w:cs="Arial"/>
          <w:color w:val="000000"/>
          <w:szCs w:val="22"/>
        </w:rPr>
        <w:t xml:space="preserve"> year</w:t>
      </w:r>
      <w:r w:rsidR="00354923" w:rsidRPr="00771904">
        <w:rPr>
          <w:rFonts w:cs="Arial"/>
          <w:color w:val="000000"/>
          <w:szCs w:val="22"/>
        </w:rPr>
        <w:t>,</w:t>
      </w:r>
      <w:r w:rsidRPr="00771904">
        <w:rPr>
          <w:rFonts w:cs="Arial"/>
          <w:color w:val="000000"/>
          <w:szCs w:val="22"/>
        </w:rPr>
        <w:t xml:space="preserve"> </w:t>
      </w:r>
      <w:r w:rsidR="000578F5" w:rsidRPr="00771904">
        <w:rPr>
          <w:rFonts w:cs="Arial"/>
          <w:color w:val="000000"/>
          <w:szCs w:val="22"/>
        </w:rPr>
        <w:t xml:space="preserve">the families of </w:t>
      </w:r>
      <w:r w:rsidR="00694937" w:rsidRPr="00771904">
        <w:rPr>
          <w:rFonts w:cs="Arial"/>
          <w:color w:val="000000"/>
          <w:szCs w:val="22"/>
        </w:rPr>
        <w:t>3065</w:t>
      </w:r>
      <w:r w:rsidR="00E857AE" w:rsidRPr="00771904">
        <w:rPr>
          <w:rFonts w:cs="Arial"/>
          <w:color w:val="000000"/>
          <w:szCs w:val="22"/>
        </w:rPr>
        <w:t xml:space="preserve"> </w:t>
      </w:r>
      <w:r w:rsidR="00EF34BB" w:rsidRPr="00771904">
        <w:rPr>
          <w:rFonts w:cs="Arial"/>
          <w:color w:val="000000"/>
          <w:szCs w:val="22"/>
        </w:rPr>
        <w:t xml:space="preserve">(69%) </w:t>
      </w:r>
      <w:r w:rsidRPr="00771904">
        <w:rPr>
          <w:rFonts w:cs="Arial"/>
          <w:color w:val="000000"/>
          <w:szCs w:val="22"/>
        </w:rPr>
        <w:t xml:space="preserve">had at least six months </w:t>
      </w:r>
      <w:r w:rsidR="000578F5" w:rsidRPr="00771904">
        <w:rPr>
          <w:rFonts w:cs="Arial"/>
          <w:color w:val="000000"/>
          <w:szCs w:val="22"/>
        </w:rPr>
        <w:t xml:space="preserve">of Birth to Three services and supports </w:t>
      </w:r>
      <w:r w:rsidRPr="00771904">
        <w:rPr>
          <w:rFonts w:cs="Arial"/>
          <w:color w:val="000000"/>
          <w:szCs w:val="22"/>
        </w:rPr>
        <w:t xml:space="preserve">between their first </w:t>
      </w:r>
      <w:r w:rsidR="000578F5" w:rsidRPr="00771904">
        <w:rPr>
          <w:rFonts w:cs="Arial"/>
          <w:color w:val="000000"/>
          <w:szCs w:val="22"/>
        </w:rPr>
        <w:t xml:space="preserve">visit after the initial IFSP meeting </w:t>
      </w:r>
      <w:r w:rsidRPr="00771904">
        <w:rPr>
          <w:rFonts w:cs="Arial"/>
          <w:color w:val="000000"/>
          <w:szCs w:val="22"/>
        </w:rPr>
        <w:t xml:space="preserve">and </w:t>
      </w:r>
      <w:r w:rsidR="000578F5" w:rsidRPr="00771904">
        <w:rPr>
          <w:rFonts w:cs="Arial"/>
          <w:color w:val="000000"/>
          <w:szCs w:val="22"/>
        </w:rPr>
        <w:t xml:space="preserve">their exit </w:t>
      </w:r>
      <w:r w:rsidRPr="00771904">
        <w:rPr>
          <w:rFonts w:cs="Arial"/>
          <w:color w:val="000000"/>
          <w:szCs w:val="22"/>
        </w:rPr>
        <w:t xml:space="preserve">date. </w:t>
      </w:r>
      <w:r w:rsidR="00694937" w:rsidRPr="00771904">
        <w:rPr>
          <w:rFonts w:cs="Arial"/>
          <w:color w:val="000000"/>
          <w:szCs w:val="22"/>
        </w:rPr>
        <w:t xml:space="preserve"> </w:t>
      </w:r>
      <w:r w:rsidRPr="00771904">
        <w:rPr>
          <w:rFonts w:cs="Arial"/>
          <w:color w:val="000000"/>
          <w:szCs w:val="22"/>
        </w:rPr>
        <w:t>Two</w:t>
      </w:r>
      <w:r w:rsidR="009639BE" w:rsidRPr="00771904">
        <w:rPr>
          <w:rFonts w:cs="Arial"/>
          <w:color w:val="000000"/>
          <w:szCs w:val="22"/>
        </w:rPr>
        <w:t xml:space="preserve"> sets of Child Outcome Summary (COS</w:t>
      </w:r>
      <w:r w:rsidRPr="00771904">
        <w:rPr>
          <w:rFonts w:cs="Arial"/>
          <w:color w:val="000000"/>
          <w:szCs w:val="22"/>
        </w:rPr>
        <w:t xml:space="preserve">) scores were entered </w:t>
      </w:r>
      <w:r w:rsidR="000578F5" w:rsidRPr="00771904">
        <w:rPr>
          <w:rFonts w:cs="Arial"/>
          <w:color w:val="000000"/>
          <w:szCs w:val="22"/>
        </w:rPr>
        <w:t xml:space="preserve">into </w:t>
      </w:r>
      <w:r w:rsidR="00192829" w:rsidRPr="00771904">
        <w:rPr>
          <w:rFonts w:cs="Arial"/>
          <w:color w:val="000000"/>
          <w:szCs w:val="22"/>
        </w:rPr>
        <w:t>the statewide</w:t>
      </w:r>
      <w:r w:rsidR="000578F5" w:rsidRPr="00771904">
        <w:rPr>
          <w:rFonts w:cs="Arial"/>
          <w:color w:val="000000"/>
          <w:szCs w:val="22"/>
        </w:rPr>
        <w:t xml:space="preserve"> database </w:t>
      </w:r>
      <w:r w:rsidRPr="00771904">
        <w:rPr>
          <w:rFonts w:cs="Arial"/>
          <w:color w:val="000000"/>
          <w:szCs w:val="22"/>
        </w:rPr>
        <w:t xml:space="preserve">for </w:t>
      </w:r>
      <w:r w:rsidR="00694937" w:rsidRPr="00771904">
        <w:rPr>
          <w:rFonts w:cs="Arial"/>
          <w:color w:val="000000"/>
          <w:szCs w:val="22"/>
        </w:rPr>
        <w:t>2430</w:t>
      </w:r>
      <w:r w:rsidR="00E857AE" w:rsidRPr="00771904">
        <w:rPr>
          <w:rFonts w:cs="Arial"/>
          <w:color w:val="000000"/>
          <w:szCs w:val="22"/>
        </w:rPr>
        <w:t xml:space="preserve"> </w:t>
      </w:r>
      <w:r w:rsidRPr="00771904">
        <w:rPr>
          <w:rFonts w:cs="Arial"/>
          <w:color w:val="000000"/>
          <w:szCs w:val="22"/>
        </w:rPr>
        <w:t xml:space="preserve">of the </w:t>
      </w:r>
      <w:r w:rsidR="00694937" w:rsidRPr="00771904">
        <w:rPr>
          <w:rFonts w:cs="Arial"/>
          <w:color w:val="000000"/>
          <w:szCs w:val="22"/>
        </w:rPr>
        <w:t>3065</w:t>
      </w:r>
      <w:r w:rsidR="000578F5" w:rsidRPr="00771904">
        <w:rPr>
          <w:rFonts w:cs="Arial"/>
          <w:color w:val="000000"/>
          <w:szCs w:val="22"/>
        </w:rPr>
        <w:t xml:space="preserve"> </w:t>
      </w:r>
      <w:r w:rsidR="00354923" w:rsidRPr="00771904">
        <w:rPr>
          <w:rFonts w:cs="Arial"/>
          <w:color w:val="000000"/>
          <w:szCs w:val="22"/>
        </w:rPr>
        <w:t>children</w:t>
      </w:r>
      <w:r w:rsidR="000578F5" w:rsidRPr="00771904">
        <w:rPr>
          <w:rFonts w:cs="Arial"/>
          <w:color w:val="000000"/>
          <w:szCs w:val="22"/>
        </w:rPr>
        <w:t xml:space="preserve"> (</w:t>
      </w:r>
      <w:r w:rsidR="007C24E6" w:rsidRPr="00771904">
        <w:rPr>
          <w:rFonts w:cs="Arial"/>
          <w:color w:val="000000"/>
          <w:szCs w:val="22"/>
        </w:rPr>
        <w:t>79.2</w:t>
      </w:r>
      <w:r w:rsidR="000578F5" w:rsidRPr="00771904">
        <w:rPr>
          <w:rFonts w:cs="Arial"/>
          <w:color w:val="000000"/>
          <w:szCs w:val="22"/>
        </w:rPr>
        <w:t>%)</w:t>
      </w:r>
      <w:r w:rsidRPr="00771904">
        <w:rPr>
          <w:rFonts w:cs="Arial"/>
          <w:color w:val="000000"/>
          <w:szCs w:val="22"/>
        </w:rPr>
        <w:t>.</w:t>
      </w:r>
      <w:r w:rsidR="00354923" w:rsidRPr="00771904">
        <w:rPr>
          <w:rFonts w:cs="Arial"/>
          <w:color w:val="000000"/>
          <w:szCs w:val="22"/>
        </w:rPr>
        <w:t xml:space="preserve">  </w:t>
      </w:r>
      <w:r w:rsidR="009639BE" w:rsidRPr="00771904">
        <w:rPr>
          <w:rFonts w:cs="Arial"/>
          <w:color w:val="000000"/>
          <w:szCs w:val="22"/>
        </w:rPr>
        <w:t>T</w:t>
      </w:r>
      <w:r w:rsidRPr="00771904">
        <w:rPr>
          <w:rFonts w:cs="Arial"/>
          <w:color w:val="000000"/>
          <w:szCs w:val="22"/>
        </w:rPr>
        <w:t xml:space="preserve">he five progress categories listed in the </w:t>
      </w:r>
      <w:r w:rsidR="00F216C0" w:rsidRPr="00771904">
        <w:rPr>
          <w:rFonts w:cs="Arial"/>
          <w:color w:val="000000"/>
          <w:szCs w:val="22"/>
        </w:rPr>
        <w:t>M</w:t>
      </w:r>
      <w:r w:rsidRPr="00771904">
        <w:rPr>
          <w:rFonts w:cs="Arial"/>
          <w:color w:val="000000"/>
          <w:szCs w:val="22"/>
        </w:rPr>
        <w:t>easur</w:t>
      </w:r>
      <w:r w:rsidR="00F216C0" w:rsidRPr="00771904">
        <w:rPr>
          <w:rFonts w:cs="Arial"/>
          <w:color w:val="000000"/>
          <w:szCs w:val="22"/>
        </w:rPr>
        <w:t xml:space="preserve">ement box </w:t>
      </w:r>
      <w:r w:rsidR="00EF34BB" w:rsidRPr="00771904">
        <w:rPr>
          <w:rFonts w:cs="Arial"/>
          <w:color w:val="000000"/>
          <w:szCs w:val="22"/>
        </w:rPr>
        <w:t>on the previous page</w:t>
      </w:r>
      <w:r w:rsidR="009B01AF" w:rsidRPr="00771904">
        <w:rPr>
          <w:rFonts w:cs="Arial"/>
          <w:color w:val="000000"/>
          <w:szCs w:val="22"/>
        </w:rPr>
        <w:t xml:space="preserve"> </w:t>
      </w:r>
      <w:r w:rsidR="009639BE" w:rsidRPr="00771904">
        <w:rPr>
          <w:rFonts w:cs="Arial"/>
          <w:color w:val="000000"/>
          <w:szCs w:val="22"/>
        </w:rPr>
        <w:t xml:space="preserve">were </w:t>
      </w:r>
      <w:r w:rsidR="00F216C0" w:rsidRPr="00771904">
        <w:rPr>
          <w:rFonts w:cs="Arial"/>
          <w:color w:val="000000"/>
          <w:szCs w:val="22"/>
        </w:rPr>
        <w:t xml:space="preserve">used </w:t>
      </w:r>
      <w:r w:rsidR="009639BE" w:rsidRPr="00771904">
        <w:rPr>
          <w:rFonts w:cs="Arial"/>
          <w:color w:val="000000"/>
          <w:szCs w:val="22"/>
        </w:rPr>
        <w:t xml:space="preserve">to produce </w:t>
      </w:r>
      <w:r w:rsidR="00F216C0" w:rsidRPr="00771904">
        <w:rPr>
          <w:rFonts w:cs="Arial"/>
          <w:color w:val="000000"/>
          <w:szCs w:val="22"/>
        </w:rPr>
        <w:t xml:space="preserve">the two summary </w:t>
      </w:r>
      <w:r w:rsidR="009B01AF" w:rsidRPr="00771904">
        <w:rPr>
          <w:rFonts w:cs="Arial"/>
          <w:color w:val="000000"/>
          <w:szCs w:val="22"/>
        </w:rPr>
        <w:t xml:space="preserve">statements </w:t>
      </w:r>
      <w:r w:rsidR="000734F2" w:rsidRPr="00771904">
        <w:rPr>
          <w:rFonts w:cs="Arial"/>
          <w:color w:val="000000"/>
          <w:szCs w:val="22"/>
        </w:rPr>
        <w:t>below</w:t>
      </w:r>
      <w:r w:rsidR="009639BE" w:rsidRPr="00771904">
        <w:rPr>
          <w:rFonts w:cs="Arial"/>
          <w:color w:val="000000"/>
          <w:szCs w:val="22"/>
        </w:rPr>
        <w:t xml:space="preserve"> for each outcome</w:t>
      </w:r>
      <w:r w:rsidR="000734F2" w:rsidRPr="00771904">
        <w:rPr>
          <w:rFonts w:cs="Arial"/>
          <w:color w:val="000000"/>
          <w:szCs w:val="22"/>
        </w:rPr>
        <w:t>.</w:t>
      </w:r>
      <w:r w:rsidR="00602EE8" w:rsidRPr="00771904">
        <w:rPr>
          <w:rFonts w:cs="Arial"/>
          <w:color w:val="000000"/>
          <w:szCs w:val="22"/>
        </w:rPr>
        <w:t xml:space="preserve"> Connecticut’s ’11-’12 and ’12-’13 data are not comparable because </w:t>
      </w:r>
      <w:r w:rsidR="00192829" w:rsidRPr="00771904">
        <w:rPr>
          <w:rFonts w:cs="Arial"/>
          <w:color w:val="000000"/>
          <w:szCs w:val="22"/>
        </w:rPr>
        <w:t>the State</w:t>
      </w:r>
      <w:r w:rsidR="007C24E6" w:rsidRPr="00771904">
        <w:rPr>
          <w:rFonts w:cs="Arial"/>
          <w:color w:val="000000"/>
          <w:szCs w:val="22"/>
        </w:rPr>
        <w:t xml:space="preserve"> </w:t>
      </w:r>
      <w:r w:rsidR="00602EE8" w:rsidRPr="00771904">
        <w:rPr>
          <w:rFonts w:cs="Arial"/>
          <w:color w:val="000000"/>
          <w:szCs w:val="22"/>
        </w:rPr>
        <w:t xml:space="preserve"> switched to a new Child Outcome Summary form in July 2010 that included </w:t>
      </w:r>
      <w:r w:rsidR="007C24E6" w:rsidRPr="00771904">
        <w:rPr>
          <w:rFonts w:cs="Arial"/>
          <w:color w:val="000000"/>
          <w:szCs w:val="22"/>
        </w:rPr>
        <w:t xml:space="preserve">a </w:t>
      </w:r>
      <w:r w:rsidR="00602EE8" w:rsidRPr="00771904">
        <w:rPr>
          <w:rFonts w:cs="Arial"/>
          <w:color w:val="000000"/>
          <w:szCs w:val="22"/>
        </w:rPr>
        <w:t xml:space="preserve">decision tree.  It is anticipated that </w:t>
      </w:r>
      <w:r w:rsidR="00EF34BB" w:rsidRPr="00771904">
        <w:rPr>
          <w:rFonts w:cs="Arial"/>
          <w:color w:val="000000"/>
          <w:szCs w:val="22"/>
        </w:rPr>
        <w:t xml:space="preserve">eventually </w:t>
      </w:r>
      <w:r w:rsidR="00602EE8" w:rsidRPr="00771904">
        <w:rPr>
          <w:rFonts w:cs="Arial"/>
          <w:color w:val="000000"/>
          <w:szCs w:val="22"/>
        </w:rPr>
        <w:t xml:space="preserve">this will improve the consistency of ratings </w:t>
      </w:r>
      <w:r w:rsidR="00EF34BB" w:rsidRPr="00771904">
        <w:rPr>
          <w:rFonts w:cs="Arial"/>
          <w:color w:val="000000"/>
          <w:szCs w:val="22"/>
        </w:rPr>
        <w:t xml:space="preserve">among staff and </w:t>
      </w:r>
      <w:r w:rsidR="00602EE8" w:rsidRPr="00771904">
        <w:rPr>
          <w:rFonts w:cs="Arial"/>
          <w:color w:val="000000"/>
          <w:szCs w:val="22"/>
        </w:rPr>
        <w:t xml:space="preserve">across programs. </w:t>
      </w:r>
      <w:r w:rsidR="00EF34BB" w:rsidRPr="00771904">
        <w:rPr>
          <w:rFonts w:cs="Arial"/>
          <w:color w:val="000000"/>
          <w:szCs w:val="22"/>
        </w:rPr>
        <w:t xml:space="preserve"> </w:t>
      </w:r>
      <w:r w:rsidR="00602EE8" w:rsidRPr="00771904">
        <w:rPr>
          <w:rFonts w:cs="Arial"/>
          <w:color w:val="000000"/>
          <w:szCs w:val="22"/>
        </w:rPr>
        <w:t xml:space="preserve">Data </w:t>
      </w:r>
      <w:r w:rsidR="00EF34BB" w:rsidRPr="00771904">
        <w:rPr>
          <w:rFonts w:cs="Arial"/>
          <w:color w:val="000000"/>
          <w:szCs w:val="22"/>
        </w:rPr>
        <w:t xml:space="preserve">for </w:t>
      </w:r>
      <w:r w:rsidR="00602EE8" w:rsidRPr="00771904">
        <w:rPr>
          <w:rFonts w:cs="Arial"/>
          <w:color w:val="000000"/>
          <w:szCs w:val="22"/>
        </w:rPr>
        <w:t xml:space="preserve">some children who exited during ’12-’13 year was collected using two different forms at entry and exit.  It will not be until the ’13-‘14 year that all children that exit will have had both entry and exit ratings completed on the new form.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170"/>
        <w:gridCol w:w="1170"/>
        <w:gridCol w:w="1440"/>
      </w:tblGrid>
      <w:tr w:rsidR="006E0F5F" w:rsidRPr="00771904" w:rsidTr="009639BE">
        <w:tc>
          <w:tcPr>
            <w:tcW w:w="5868" w:type="dxa"/>
            <w:vAlign w:val="center"/>
          </w:tcPr>
          <w:p w:rsidR="00A8228E" w:rsidRPr="00771904" w:rsidRDefault="00A8228E" w:rsidP="00897B50">
            <w:pPr>
              <w:pStyle w:val="BodyText2"/>
              <w:jc w:val="center"/>
              <w:rPr>
                <w:b/>
                <w:bCs w:val="0"/>
                <w:sz w:val="22"/>
                <w:szCs w:val="22"/>
              </w:rPr>
            </w:pPr>
            <w:bookmarkStart w:id="4" w:name="OLE_LINK3"/>
            <w:bookmarkStart w:id="5" w:name="OLE_LINK4"/>
            <w:r w:rsidRPr="00771904">
              <w:rPr>
                <w:b/>
                <w:bCs w:val="0"/>
                <w:sz w:val="22"/>
                <w:szCs w:val="22"/>
              </w:rPr>
              <w:t>Summary Statements</w:t>
            </w:r>
          </w:p>
        </w:tc>
        <w:tc>
          <w:tcPr>
            <w:tcW w:w="1170" w:type="dxa"/>
            <w:vAlign w:val="center"/>
          </w:tcPr>
          <w:p w:rsidR="00A8228E" w:rsidRPr="00771904" w:rsidRDefault="009C0999" w:rsidP="00B5655E">
            <w:pPr>
              <w:pStyle w:val="BodyText2"/>
              <w:jc w:val="center"/>
              <w:rPr>
                <w:b/>
                <w:bCs w:val="0"/>
                <w:color w:val="000000"/>
                <w:sz w:val="22"/>
                <w:szCs w:val="22"/>
              </w:rPr>
            </w:pPr>
            <w:r w:rsidRPr="00771904">
              <w:rPr>
                <w:b/>
                <w:bCs w:val="0"/>
                <w:sz w:val="22"/>
                <w:szCs w:val="22"/>
              </w:rPr>
              <w:t xml:space="preserve">Actual </w:t>
            </w:r>
            <w:r w:rsidRPr="00771904">
              <w:rPr>
                <w:b/>
                <w:bCs w:val="0"/>
                <w:color w:val="000000"/>
                <w:sz w:val="22"/>
                <w:szCs w:val="22"/>
              </w:rPr>
              <w:t>‘11-‘12</w:t>
            </w:r>
          </w:p>
        </w:tc>
        <w:tc>
          <w:tcPr>
            <w:tcW w:w="1170" w:type="dxa"/>
            <w:vAlign w:val="center"/>
          </w:tcPr>
          <w:p w:rsidR="006E0F5F" w:rsidRPr="00771904" w:rsidRDefault="00A8228E" w:rsidP="00B5655E">
            <w:pPr>
              <w:pStyle w:val="BodyText2"/>
              <w:jc w:val="center"/>
              <w:rPr>
                <w:b/>
                <w:bCs w:val="0"/>
                <w:color w:val="000000"/>
                <w:sz w:val="22"/>
                <w:szCs w:val="22"/>
              </w:rPr>
            </w:pPr>
            <w:r w:rsidRPr="00771904">
              <w:rPr>
                <w:b/>
                <w:bCs w:val="0"/>
                <w:sz w:val="22"/>
                <w:szCs w:val="22"/>
              </w:rPr>
              <w:t xml:space="preserve">Actual </w:t>
            </w:r>
            <w:r w:rsidR="009C0999" w:rsidRPr="00771904">
              <w:rPr>
                <w:b/>
                <w:bCs w:val="0"/>
                <w:color w:val="000000"/>
                <w:sz w:val="22"/>
                <w:szCs w:val="22"/>
              </w:rPr>
              <w:t>‘12-‘13</w:t>
            </w:r>
          </w:p>
        </w:tc>
        <w:tc>
          <w:tcPr>
            <w:tcW w:w="1440" w:type="dxa"/>
            <w:vAlign w:val="center"/>
          </w:tcPr>
          <w:p w:rsidR="00A8228E" w:rsidRPr="00771904" w:rsidRDefault="00A8228E" w:rsidP="00B5655E">
            <w:pPr>
              <w:pStyle w:val="BodyText2"/>
              <w:jc w:val="center"/>
              <w:rPr>
                <w:b/>
                <w:bCs w:val="0"/>
                <w:color w:val="000000"/>
                <w:sz w:val="22"/>
                <w:szCs w:val="22"/>
              </w:rPr>
            </w:pPr>
            <w:r w:rsidRPr="00771904">
              <w:rPr>
                <w:b/>
                <w:bCs w:val="0"/>
                <w:sz w:val="22"/>
                <w:szCs w:val="22"/>
              </w:rPr>
              <w:t xml:space="preserve">Targets </w:t>
            </w:r>
            <w:r w:rsidRPr="00771904">
              <w:rPr>
                <w:b/>
                <w:bCs w:val="0"/>
                <w:color w:val="000000"/>
                <w:sz w:val="22"/>
                <w:szCs w:val="22"/>
              </w:rPr>
              <w:t>‘1</w:t>
            </w:r>
            <w:r w:rsidR="009C0999" w:rsidRPr="00771904">
              <w:rPr>
                <w:b/>
                <w:bCs w:val="0"/>
                <w:color w:val="000000"/>
                <w:sz w:val="22"/>
                <w:szCs w:val="22"/>
              </w:rPr>
              <w:t>2</w:t>
            </w:r>
            <w:r w:rsidRPr="00771904">
              <w:rPr>
                <w:b/>
                <w:bCs w:val="0"/>
                <w:color w:val="000000"/>
                <w:sz w:val="22"/>
                <w:szCs w:val="22"/>
              </w:rPr>
              <w:t>-‘1</w:t>
            </w:r>
            <w:r w:rsidR="009C0999" w:rsidRPr="00771904">
              <w:rPr>
                <w:b/>
                <w:bCs w:val="0"/>
                <w:color w:val="000000"/>
                <w:sz w:val="22"/>
                <w:szCs w:val="22"/>
              </w:rPr>
              <w:t>3</w:t>
            </w:r>
          </w:p>
        </w:tc>
      </w:tr>
      <w:tr w:rsidR="00A8228E" w:rsidRPr="00771904" w:rsidTr="00353F91">
        <w:tc>
          <w:tcPr>
            <w:tcW w:w="9648" w:type="dxa"/>
            <w:gridSpan w:val="4"/>
            <w:shd w:val="clear" w:color="auto" w:fill="D9D9D9"/>
          </w:tcPr>
          <w:p w:rsidR="00A8228E" w:rsidRPr="00771904" w:rsidRDefault="00A8228E" w:rsidP="00E403FD">
            <w:pPr>
              <w:pStyle w:val="BodyText2"/>
              <w:tabs>
                <w:tab w:val="left" w:pos="1096"/>
                <w:tab w:val="center" w:pos="4716"/>
              </w:tabs>
              <w:rPr>
                <w:b/>
                <w:bCs w:val="0"/>
                <w:sz w:val="22"/>
                <w:szCs w:val="22"/>
              </w:rPr>
            </w:pPr>
            <w:r w:rsidRPr="00771904">
              <w:rPr>
                <w:b/>
                <w:bCs w:val="0"/>
                <w:sz w:val="22"/>
                <w:szCs w:val="22"/>
              </w:rPr>
              <w:t>Outcome A:</w:t>
            </w:r>
            <w:r w:rsidRPr="00771904">
              <w:rPr>
                <w:b/>
                <w:sz w:val="22"/>
                <w:szCs w:val="22"/>
              </w:rPr>
              <w:t xml:space="preserve"> Positive social-emotional skills (including social relationships)</w:t>
            </w:r>
          </w:p>
        </w:tc>
      </w:tr>
      <w:tr w:rsidR="009C0999" w:rsidRPr="00771904" w:rsidTr="009639BE">
        <w:tc>
          <w:tcPr>
            <w:tcW w:w="5868" w:type="dxa"/>
          </w:tcPr>
          <w:p w:rsidR="009C0999" w:rsidRPr="00771904" w:rsidRDefault="009C0999" w:rsidP="00413EB8">
            <w:pPr>
              <w:pStyle w:val="BodyText2"/>
              <w:numPr>
                <w:ilvl w:val="0"/>
                <w:numId w:val="12"/>
              </w:numPr>
              <w:tabs>
                <w:tab w:val="left" w:pos="360"/>
              </w:tabs>
              <w:spacing w:before="0" w:after="0"/>
              <w:ind w:left="360"/>
              <w:rPr>
                <w:b/>
                <w:bCs w:val="0"/>
                <w:sz w:val="22"/>
                <w:szCs w:val="22"/>
              </w:rPr>
            </w:pPr>
            <w:r w:rsidRPr="00771904">
              <w:rPr>
                <w:bCs w:val="0"/>
                <w:iCs/>
                <w:sz w:val="22"/>
                <w:szCs w:val="22"/>
              </w:rPr>
              <w:t xml:space="preserve">Of those children who entered or exited the program below age expectations in Outcome A, the percent who substantially increased their rate of growth by the time they exited the program.    </w:t>
            </w:r>
            <w:r w:rsidRPr="00771904">
              <w:rPr>
                <w:bCs w:val="0"/>
                <w:iCs/>
                <w:sz w:val="22"/>
                <w:szCs w:val="22"/>
              </w:rPr>
              <w:br/>
            </w:r>
            <w:r w:rsidRPr="00771904">
              <w:rPr>
                <w:b/>
                <w:bCs w:val="0"/>
                <w:iCs/>
                <w:sz w:val="22"/>
                <w:szCs w:val="22"/>
              </w:rPr>
              <w:t xml:space="preserve">Formula:  </w:t>
            </w:r>
            <w:proofErr w:type="spellStart"/>
            <w:r w:rsidRPr="00771904">
              <w:rPr>
                <w:b/>
                <w:bCs w:val="0"/>
                <w:iCs/>
                <w:sz w:val="22"/>
                <w:szCs w:val="22"/>
              </w:rPr>
              <w:t>c+d</w:t>
            </w:r>
            <w:proofErr w:type="spellEnd"/>
            <w:r w:rsidRPr="00771904">
              <w:rPr>
                <w:b/>
                <w:bCs w:val="0"/>
                <w:iCs/>
                <w:sz w:val="22"/>
                <w:szCs w:val="22"/>
              </w:rPr>
              <w:t xml:space="preserve">/ </w:t>
            </w:r>
            <w:proofErr w:type="spellStart"/>
            <w:r w:rsidRPr="00771904">
              <w:rPr>
                <w:b/>
                <w:bCs w:val="0"/>
                <w:iCs/>
                <w:sz w:val="22"/>
                <w:szCs w:val="22"/>
              </w:rPr>
              <w:t>a+b+c+d</w:t>
            </w:r>
            <w:proofErr w:type="spellEnd"/>
            <w:r w:rsidRPr="00771904">
              <w:rPr>
                <w:b/>
                <w:bCs w:val="0"/>
                <w:iCs/>
                <w:sz w:val="22"/>
                <w:szCs w:val="22"/>
              </w:rPr>
              <w:t xml:space="preserve">   (</w:t>
            </w:r>
            <w:r w:rsidR="00413EB8" w:rsidRPr="00771904">
              <w:rPr>
                <w:b/>
                <w:bCs w:val="0"/>
                <w:iCs/>
                <w:sz w:val="22"/>
                <w:szCs w:val="22"/>
              </w:rPr>
              <w:t>1339/1770</w:t>
            </w:r>
            <w:r w:rsidRPr="00771904">
              <w:rPr>
                <w:b/>
                <w:bCs w:val="0"/>
                <w:iCs/>
                <w:sz w:val="22"/>
                <w:szCs w:val="22"/>
              </w:rPr>
              <w:t>)</w:t>
            </w:r>
          </w:p>
        </w:tc>
        <w:tc>
          <w:tcPr>
            <w:tcW w:w="1170" w:type="dxa"/>
            <w:vAlign w:val="center"/>
          </w:tcPr>
          <w:p w:rsidR="009C0999" w:rsidRPr="00771904" w:rsidRDefault="009C0999" w:rsidP="00DE6D00">
            <w:pPr>
              <w:pStyle w:val="BodyText2"/>
              <w:jc w:val="center"/>
              <w:rPr>
                <w:color w:val="000000"/>
                <w:sz w:val="22"/>
                <w:szCs w:val="22"/>
              </w:rPr>
            </w:pPr>
            <w:r w:rsidRPr="00771904">
              <w:rPr>
                <w:color w:val="000000"/>
                <w:sz w:val="22"/>
                <w:szCs w:val="22"/>
              </w:rPr>
              <w:t>77.6%</w:t>
            </w:r>
          </w:p>
          <w:p w:rsidR="009C0999" w:rsidRPr="00771904" w:rsidRDefault="009C0999" w:rsidP="00DE6D00">
            <w:pPr>
              <w:jc w:val="center"/>
              <w:rPr>
                <w:rFonts w:cs="Arial"/>
                <w:color w:val="000000"/>
                <w:szCs w:val="22"/>
              </w:rPr>
            </w:pPr>
            <w:r w:rsidRPr="00771904">
              <w:rPr>
                <w:rFonts w:cs="Arial"/>
                <w:color w:val="000000"/>
                <w:szCs w:val="22"/>
              </w:rPr>
              <w:t>(n=2023)</w:t>
            </w:r>
          </w:p>
        </w:tc>
        <w:tc>
          <w:tcPr>
            <w:tcW w:w="1170" w:type="dxa"/>
            <w:vAlign w:val="center"/>
          </w:tcPr>
          <w:p w:rsidR="009C0999" w:rsidRPr="00771904" w:rsidRDefault="00413EB8" w:rsidP="00F8307A">
            <w:pPr>
              <w:pStyle w:val="BodyText2"/>
              <w:jc w:val="center"/>
              <w:rPr>
                <w:color w:val="000000"/>
                <w:sz w:val="22"/>
                <w:szCs w:val="22"/>
              </w:rPr>
            </w:pPr>
            <w:r w:rsidRPr="00771904">
              <w:rPr>
                <w:color w:val="000000"/>
                <w:sz w:val="22"/>
                <w:szCs w:val="22"/>
              </w:rPr>
              <w:t>75.6</w:t>
            </w:r>
            <w:r w:rsidR="009C0999" w:rsidRPr="00771904">
              <w:rPr>
                <w:color w:val="000000"/>
                <w:sz w:val="22"/>
                <w:szCs w:val="22"/>
              </w:rPr>
              <w:t>%</w:t>
            </w:r>
          </w:p>
          <w:p w:rsidR="009C0999" w:rsidRPr="00771904" w:rsidRDefault="009C0999" w:rsidP="009C0999">
            <w:pPr>
              <w:jc w:val="center"/>
              <w:rPr>
                <w:rFonts w:cs="Arial"/>
                <w:color w:val="000000"/>
                <w:szCs w:val="22"/>
              </w:rPr>
            </w:pPr>
            <w:r w:rsidRPr="00771904">
              <w:rPr>
                <w:rFonts w:cs="Arial"/>
                <w:color w:val="000000"/>
                <w:szCs w:val="22"/>
              </w:rPr>
              <w:t>(n=</w:t>
            </w:r>
            <w:r w:rsidR="00413EB8" w:rsidRPr="00771904">
              <w:rPr>
                <w:rFonts w:cs="Arial"/>
                <w:color w:val="000000"/>
                <w:szCs w:val="22"/>
              </w:rPr>
              <w:t>1770</w:t>
            </w:r>
            <w:r w:rsidRPr="00771904">
              <w:rPr>
                <w:rFonts w:cs="Arial"/>
                <w:color w:val="000000"/>
                <w:szCs w:val="22"/>
              </w:rPr>
              <w:t>)</w:t>
            </w:r>
          </w:p>
        </w:tc>
        <w:tc>
          <w:tcPr>
            <w:tcW w:w="1440" w:type="dxa"/>
            <w:vAlign w:val="center"/>
          </w:tcPr>
          <w:p w:rsidR="009C0999" w:rsidRPr="00771904" w:rsidRDefault="009C0999" w:rsidP="00353F91">
            <w:pPr>
              <w:pStyle w:val="BodyText2"/>
              <w:jc w:val="center"/>
              <w:rPr>
                <w:color w:val="000000"/>
                <w:sz w:val="22"/>
                <w:szCs w:val="22"/>
              </w:rPr>
            </w:pPr>
            <w:r w:rsidRPr="00771904">
              <w:rPr>
                <w:color w:val="000000"/>
                <w:sz w:val="22"/>
                <w:szCs w:val="22"/>
              </w:rPr>
              <w:t>84.7%</w:t>
            </w:r>
          </w:p>
        </w:tc>
      </w:tr>
      <w:tr w:rsidR="009C0999" w:rsidRPr="00771904" w:rsidTr="009639BE">
        <w:tc>
          <w:tcPr>
            <w:tcW w:w="5868" w:type="dxa"/>
          </w:tcPr>
          <w:p w:rsidR="009C0999" w:rsidRPr="00771904" w:rsidRDefault="009C0999" w:rsidP="00413EB8">
            <w:pPr>
              <w:pStyle w:val="BodyText2"/>
              <w:numPr>
                <w:ilvl w:val="0"/>
                <w:numId w:val="12"/>
              </w:numPr>
              <w:ind w:left="360"/>
              <w:rPr>
                <w:bCs w:val="0"/>
                <w:iCs/>
                <w:sz w:val="22"/>
                <w:szCs w:val="22"/>
              </w:rPr>
            </w:pPr>
            <w:r w:rsidRPr="00771904">
              <w:rPr>
                <w:bCs w:val="0"/>
                <w:iCs/>
                <w:sz w:val="22"/>
                <w:szCs w:val="22"/>
              </w:rPr>
              <w:t xml:space="preserve">The percent of children who were functioning within age expectations in Outcome A by the time they exited the program.   </w:t>
            </w:r>
            <w:r w:rsidRPr="00771904">
              <w:rPr>
                <w:bCs w:val="0"/>
                <w:iCs/>
                <w:sz w:val="22"/>
                <w:szCs w:val="22"/>
              </w:rPr>
              <w:br/>
            </w:r>
            <w:r w:rsidRPr="00771904">
              <w:rPr>
                <w:b/>
                <w:bCs w:val="0"/>
                <w:iCs/>
                <w:sz w:val="22"/>
                <w:szCs w:val="22"/>
              </w:rPr>
              <w:t xml:space="preserve">Formula:  </w:t>
            </w:r>
            <w:proofErr w:type="spellStart"/>
            <w:r w:rsidRPr="00771904">
              <w:rPr>
                <w:b/>
                <w:bCs w:val="0"/>
                <w:iCs/>
                <w:sz w:val="22"/>
                <w:szCs w:val="22"/>
              </w:rPr>
              <w:t>d+e</w:t>
            </w:r>
            <w:proofErr w:type="spellEnd"/>
            <w:r w:rsidRPr="00771904">
              <w:rPr>
                <w:b/>
                <w:bCs w:val="0"/>
                <w:iCs/>
                <w:sz w:val="22"/>
                <w:szCs w:val="22"/>
              </w:rPr>
              <w:t xml:space="preserve">/ </w:t>
            </w:r>
            <w:proofErr w:type="spellStart"/>
            <w:r w:rsidRPr="00771904">
              <w:rPr>
                <w:b/>
                <w:bCs w:val="0"/>
                <w:iCs/>
                <w:sz w:val="22"/>
                <w:szCs w:val="22"/>
              </w:rPr>
              <w:t>a+b+c+d+e</w:t>
            </w:r>
            <w:proofErr w:type="spellEnd"/>
            <w:r w:rsidRPr="00771904">
              <w:rPr>
                <w:b/>
                <w:bCs w:val="0"/>
                <w:iCs/>
                <w:sz w:val="22"/>
                <w:szCs w:val="22"/>
              </w:rPr>
              <w:t xml:space="preserve">  (14</w:t>
            </w:r>
            <w:r w:rsidR="00413EB8" w:rsidRPr="00771904">
              <w:rPr>
                <w:b/>
                <w:bCs w:val="0"/>
                <w:iCs/>
                <w:sz w:val="22"/>
                <w:szCs w:val="22"/>
              </w:rPr>
              <w:t>44/2430</w:t>
            </w:r>
            <w:r w:rsidRPr="00771904">
              <w:rPr>
                <w:b/>
                <w:bCs w:val="0"/>
                <w:iCs/>
                <w:sz w:val="22"/>
                <w:szCs w:val="22"/>
              </w:rPr>
              <w:t>)</w:t>
            </w:r>
          </w:p>
        </w:tc>
        <w:tc>
          <w:tcPr>
            <w:tcW w:w="1170" w:type="dxa"/>
            <w:vAlign w:val="center"/>
          </w:tcPr>
          <w:p w:rsidR="009C0999" w:rsidRPr="00771904" w:rsidRDefault="009C0999" w:rsidP="00DE6D00">
            <w:pPr>
              <w:pStyle w:val="BodyText2"/>
              <w:jc w:val="center"/>
              <w:rPr>
                <w:color w:val="000000"/>
                <w:sz w:val="22"/>
                <w:szCs w:val="22"/>
              </w:rPr>
            </w:pPr>
            <w:r w:rsidRPr="00771904">
              <w:rPr>
                <w:color w:val="000000"/>
                <w:sz w:val="22"/>
                <w:szCs w:val="22"/>
              </w:rPr>
              <w:t>58.6%</w:t>
            </w:r>
          </w:p>
          <w:p w:rsidR="009C0999" w:rsidRPr="00771904" w:rsidRDefault="009C0999" w:rsidP="00DE6D00">
            <w:pPr>
              <w:jc w:val="center"/>
              <w:rPr>
                <w:rFonts w:cs="Arial"/>
                <w:color w:val="000000"/>
                <w:szCs w:val="22"/>
              </w:rPr>
            </w:pPr>
            <w:r w:rsidRPr="00771904">
              <w:rPr>
                <w:rFonts w:cs="Arial"/>
                <w:color w:val="000000"/>
                <w:szCs w:val="22"/>
              </w:rPr>
              <w:t>(n=2554)</w:t>
            </w:r>
          </w:p>
        </w:tc>
        <w:tc>
          <w:tcPr>
            <w:tcW w:w="1170" w:type="dxa"/>
            <w:vAlign w:val="center"/>
          </w:tcPr>
          <w:p w:rsidR="009C0999" w:rsidRPr="00771904" w:rsidRDefault="00413EB8" w:rsidP="009C0999">
            <w:pPr>
              <w:pStyle w:val="BodyText2"/>
              <w:jc w:val="center"/>
              <w:rPr>
                <w:color w:val="000000"/>
                <w:sz w:val="22"/>
                <w:szCs w:val="22"/>
              </w:rPr>
            </w:pPr>
            <w:r w:rsidRPr="00771904">
              <w:rPr>
                <w:color w:val="000000"/>
                <w:sz w:val="22"/>
                <w:szCs w:val="22"/>
              </w:rPr>
              <w:t>59.4</w:t>
            </w:r>
            <w:r w:rsidR="009C0999" w:rsidRPr="00771904">
              <w:rPr>
                <w:color w:val="000000"/>
                <w:sz w:val="22"/>
                <w:szCs w:val="22"/>
              </w:rPr>
              <w:t>%</w:t>
            </w:r>
          </w:p>
          <w:p w:rsidR="009C0999" w:rsidRPr="00771904" w:rsidRDefault="009C0999" w:rsidP="009C0999">
            <w:pPr>
              <w:jc w:val="center"/>
              <w:rPr>
                <w:rFonts w:cs="Arial"/>
                <w:color w:val="000000"/>
                <w:szCs w:val="22"/>
              </w:rPr>
            </w:pPr>
            <w:r w:rsidRPr="00771904">
              <w:rPr>
                <w:rFonts w:cs="Arial"/>
                <w:color w:val="000000"/>
                <w:szCs w:val="22"/>
              </w:rPr>
              <w:t>(n=</w:t>
            </w:r>
            <w:r w:rsidR="00413EB8" w:rsidRPr="00771904">
              <w:rPr>
                <w:rFonts w:cs="Arial"/>
                <w:color w:val="000000"/>
                <w:szCs w:val="22"/>
              </w:rPr>
              <w:t>2430</w:t>
            </w:r>
            <w:r w:rsidRPr="00771904">
              <w:rPr>
                <w:rFonts w:cs="Arial"/>
                <w:color w:val="000000"/>
                <w:szCs w:val="22"/>
              </w:rPr>
              <w:t>)</w:t>
            </w:r>
          </w:p>
        </w:tc>
        <w:tc>
          <w:tcPr>
            <w:tcW w:w="1440" w:type="dxa"/>
            <w:vAlign w:val="center"/>
          </w:tcPr>
          <w:p w:rsidR="009C0999" w:rsidRPr="00771904" w:rsidRDefault="009C0999" w:rsidP="00353F91">
            <w:pPr>
              <w:pStyle w:val="BodyText2"/>
              <w:jc w:val="center"/>
              <w:rPr>
                <w:color w:val="000000"/>
                <w:sz w:val="22"/>
                <w:szCs w:val="22"/>
              </w:rPr>
            </w:pPr>
            <w:r w:rsidRPr="00771904">
              <w:rPr>
                <w:color w:val="000000"/>
                <w:sz w:val="22"/>
                <w:szCs w:val="22"/>
              </w:rPr>
              <w:t>51.2%</w:t>
            </w:r>
          </w:p>
        </w:tc>
      </w:tr>
      <w:tr w:rsidR="00A8228E" w:rsidRPr="00771904" w:rsidTr="00353F91">
        <w:tc>
          <w:tcPr>
            <w:tcW w:w="9648" w:type="dxa"/>
            <w:gridSpan w:val="4"/>
            <w:shd w:val="clear" w:color="auto" w:fill="D9D9D9"/>
          </w:tcPr>
          <w:p w:rsidR="00A8228E" w:rsidRPr="00771904" w:rsidRDefault="00A8228E" w:rsidP="00E403FD">
            <w:pPr>
              <w:pStyle w:val="BodyText2"/>
              <w:rPr>
                <w:b/>
                <w:bCs w:val="0"/>
                <w:color w:val="000000"/>
                <w:sz w:val="22"/>
                <w:szCs w:val="22"/>
              </w:rPr>
            </w:pPr>
            <w:r w:rsidRPr="00771904">
              <w:rPr>
                <w:b/>
                <w:bCs w:val="0"/>
                <w:color w:val="000000"/>
                <w:sz w:val="22"/>
                <w:szCs w:val="22"/>
              </w:rPr>
              <w:t>Outcome B:</w:t>
            </w:r>
            <w:r w:rsidRPr="00771904">
              <w:rPr>
                <w:b/>
                <w:color w:val="000000"/>
                <w:sz w:val="22"/>
                <w:szCs w:val="22"/>
              </w:rPr>
              <w:t xml:space="preserve"> Acquisition and use of knowledge and skills (including early language/communication and early literacy)</w:t>
            </w:r>
          </w:p>
        </w:tc>
      </w:tr>
      <w:tr w:rsidR="009C0999" w:rsidRPr="00771904" w:rsidTr="009639BE">
        <w:tc>
          <w:tcPr>
            <w:tcW w:w="5868" w:type="dxa"/>
          </w:tcPr>
          <w:p w:rsidR="009C0999" w:rsidRPr="00771904" w:rsidRDefault="009C0999" w:rsidP="00413EB8">
            <w:pPr>
              <w:pStyle w:val="BodyText2"/>
              <w:numPr>
                <w:ilvl w:val="0"/>
                <w:numId w:val="14"/>
              </w:numPr>
              <w:tabs>
                <w:tab w:val="left" w:pos="360"/>
              </w:tabs>
              <w:spacing w:before="0" w:after="0"/>
              <w:ind w:left="360"/>
              <w:rPr>
                <w:b/>
                <w:bCs w:val="0"/>
                <w:sz w:val="22"/>
                <w:szCs w:val="22"/>
              </w:rPr>
            </w:pPr>
            <w:r w:rsidRPr="00771904">
              <w:rPr>
                <w:bCs w:val="0"/>
                <w:iCs/>
                <w:sz w:val="22"/>
                <w:szCs w:val="22"/>
              </w:rPr>
              <w:t xml:space="preserve">Of those children who entered or exited the program below age expectations in Outcome B, the percent who substantially increased their rate of growth by the time they exited the program.    </w:t>
            </w:r>
            <w:r w:rsidRPr="00771904">
              <w:rPr>
                <w:bCs w:val="0"/>
                <w:iCs/>
                <w:sz w:val="22"/>
                <w:szCs w:val="22"/>
              </w:rPr>
              <w:br/>
            </w:r>
            <w:r w:rsidRPr="00771904">
              <w:rPr>
                <w:b/>
                <w:bCs w:val="0"/>
                <w:iCs/>
                <w:sz w:val="22"/>
                <w:szCs w:val="22"/>
              </w:rPr>
              <w:t xml:space="preserve">Formula:  </w:t>
            </w:r>
            <w:proofErr w:type="spellStart"/>
            <w:r w:rsidRPr="00771904">
              <w:rPr>
                <w:b/>
                <w:bCs w:val="0"/>
                <w:iCs/>
                <w:sz w:val="22"/>
                <w:szCs w:val="22"/>
              </w:rPr>
              <w:t>c+d</w:t>
            </w:r>
            <w:proofErr w:type="spellEnd"/>
            <w:r w:rsidRPr="00771904">
              <w:rPr>
                <w:b/>
                <w:bCs w:val="0"/>
                <w:iCs/>
                <w:sz w:val="22"/>
                <w:szCs w:val="22"/>
              </w:rPr>
              <w:t xml:space="preserve">/ </w:t>
            </w:r>
            <w:proofErr w:type="spellStart"/>
            <w:r w:rsidRPr="00771904">
              <w:rPr>
                <w:b/>
                <w:bCs w:val="0"/>
                <w:iCs/>
                <w:sz w:val="22"/>
                <w:szCs w:val="22"/>
              </w:rPr>
              <w:t>a+b+c+d</w:t>
            </w:r>
            <w:proofErr w:type="spellEnd"/>
            <w:r w:rsidRPr="00771904">
              <w:rPr>
                <w:b/>
                <w:bCs w:val="0"/>
                <w:iCs/>
                <w:sz w:val="22"/>
                <w:szCs w:val="22"/>
              </w:rPr>
              <w:t xml:space="preserve">  (</w:t>
            </w:r>
            <w:r w:rsidR="00413EB8" w:rsidRPr="00771904">
              <w:rPr>
                <w:b/>
                <w:bCs w:val="0"/>
                <w:iCs/>
                <w:sz w:val="22"/>
                <w:szCs w:val="22"/>
              </w:rPr>
              <w:t>1791/2162</w:t>
            </w:r>
            <w:r w:rsidRPr="00771904">
              <w:rPr>
                <w:b/>
                <w:bCs w:val="0"/>
                <w:iCs/>
                <w:sz w:val="22"/>
                <w:szCs w:val="22"/>
              </w:rPr>
              <w:t>)</w:t>
            </w:r>
          </w:p>
        </w:tc>
        <w:tc>
          <w:tcPr>
            <w:tcW w:w="1170" w:type="dxa"/>
            <w:vAlign w:val="center"/>
          </w:tcPr>
          <w:p w:rsidR="009C0999" w:rsidRPr="00771904" w:rsidRDefault="009C0999" w:rsidP="00DE6D00">
            <w:pPr>
              <w:pStyle w:val="BodyText2"/>
              <w:jc w:val="center"/>
              <w:rPr>
                <w:color w:val="000000"/>
                <w:sz w:val="22"/>
                <w:szCs w:val="22"/>
              </w:rPr>
            </w:pPr>
            <w:r w:rsidRPr="00771904">
              <w:rPr>
                <w:color w:val="000000"/>
                <w:sz w:val="22"/>
                <w:szCs w:val="22"/>
              </w:rPr>
              <w:t>84.3%</w:t>
            </w:r>
          </w:p>
          <w:p w:rsidR="009C0999" w:rsidRPr="00771904" w:rsidRDefault="009C0999" w:rsidP="00DE6D00">
            <w:pPr>
              <w:jc w:val="center"/>
              <w:rPr>
                <w:rFonts w:cs="Arial"/>
                <w:color w:val="000000"/>
                <w:szCs w:val="22"/>
              </w:rPr>
            </w:pPr>
            <w:r w:rsidRPr="00771904">
              <w:rPr>
                <w:rFonts w:cs="Arial"/>
                <w:color w:val="000000"/>
                <w:szCs w:val="22"/>
              </w:rPr>
              <w:t>(n=2344)</w:t>
            </w:r>
          </w:p>
        </w:tc>
        <w:tc>
          <w:tcPr>
            <w:tcW w:w="1170" w:type="dxa"/>
            <w:vAlign w:val="center"/>
          </w:tcPr>
          <w:p w:rsidR="009C0999" w:rsidRPr="00771904" w:rsidRDefault="00413EB8" w:rsidP="009C0999">
            <w:pPr>
              <w:pStyle w:val="BodyText2"/>
              <w:jc w:val="center"/>
              <w:rPr>
                <w:color w:val="000000"/>
                <w:sz w:val="22"/>
                <w:szCs w:val="22"/>
              </w:rPr>
            </w:pPr>
            <w:r w:rsidRPr="00771904">
              <w:rPr>
                <w:color w:val="000000"/>
                <w:sz w:val="22"/>
                <w:szCs w:val="22"/>
              </w:rPr>
              <w:t>82.8</w:t>
            </w:r>
            <w:r w:rsidR="009C0999" w:rsidRPr="00771904">
              <w:rPr>
                <w:color w:val="000000"/>
                <w:sz w:val="22"/>
                <w:szCs w:val="22"/>
              </w:rPr>
              <w:t>%</w:t>
            </w:r>
          </w:p>
          <w:p w:rsidR="009C0999" w:rsidRPr="00771904" w:rsidRDefault="009C0999" w:rsidP="009C0999">
            <w:pPr>
              <w:jc w:val="center"/>
              <w:rPr>
                <w:rFonts w:cs="Arial"/>
                <w:color w:val="000000"/>
                <w:szCs w:val="22"/>
              </w:rPr>
            </w:pPr>
            <w:r w:rsidRPr="00771904">
              <w:rPr>
                <w:rFonts w:cs="Arial"/>
                <w:color w:val="000000"/>
                <w:szCs w:val="22"/>
              </w:rPr>
              <w:t>(n=</w:t>
            </w:r>
            <w:r w:rsidR="00413EB8" w:rsidRPr="00771904">
              <w:rPr>
                <w:rFonts w:cs="Arial"/>
                <w:color w:val="000000"/>
                <w:szCs w:val="22"/>
              </w:rPr>
              <w:t>2162</w:t>
            </w:r>
            <w:r w:rsidRPr="00771904">
              <w:rPr>
                <w:rFonts w:cs="Arial"/>
                <w:color w:val="000000"/>
                <w:szCs w:val="22"/>
              </w:rPr>
              <w:t>)</w:t>
            </w:r>
          </w:p>
        </w:tc>
        <w:tc>
          <w:tcPr>
            <w:tcW w:w="1440" w:type="dxa"/>
            <w:vAlign w:val="center"/>
          </w:tcPr>
          <w:p w:rsidR="009C0999" w:rsidRPr="00771904" w:rsidRDefault="009C0999" w:rsidP="00353F91">
            <w:pPr>
              <w:pStyle w:val="BodyText2"/>
              <w:jc w:val="center"/>
              <w:rPr>
                <w:color w:val="000000"/>
                <w:sz w:val="22"/>
                <w:szCs w:val="22"/>
              </w:rPr>
            </w:pPr>
            <w:r w:rsidRPr="00771904">
              <w:rPr>
                <w:color w:val="000000"/>
                <w:sz w:val="22"/>
                <w:szCs w:val="22"/>
              </w:rPr>
              <w:t>88.0%</w:t>
            </w:r>
          </w:p>
        </w:tc>
      </w:tr>
      <w:tr w:rsidR="009C0999" w:rsidRPr="00771904" w:rsidTr="009639BE">
        <w:tc>
          <w:tcPr>
            <w:tcW w:w="5868" w:type="dxa"/>
          </w:tcPr>
          <w:p w:rsidR="009C0999" w:rsidRPr="00771904" w:rsidRDefault="009C0999" w:rsidP="00C91755">
            <w:pPr>
              <w:pStyle w:val="BodyText2"/>
              <w:numPr>
                <w:ilvl w:val="0"/>
                <w:numId w:val="14"/>
              </w:numPr>
              <w:ind w:left="360"/>
              <w:rPr>
                <w:bCs w:val="0"/>
                <w:iCs/>
                <w:sz w:val="22"/>
                <w:szCs w:val="22"/>
              </w:rPr>
            </w:pPr>
            <w:r w:rsidRPr="00771904">
              <w:rPr>
                <w:bCs w:val="0"/>
                <w:iCs/>
                <w:sz w:val="22"/>
                <w:szCs w:val="22"/>
              </w:rPr>
              <w:t xml:space="preserve">The percent of children who were functioning within age expectations in Outcome B by the time they exited the program.   </w:t>
            </w:r>
            <w:r w:rsidRPr="00771904">
              <w:rPr>
                <w:bCs w:val="0"/>
                <w:iCs/>
                <w:sz w:val="22"/>
                <w:szCs w:val="22"/>
              </w:rPr>
              <w:br/>
            </w:r>
            <w:r w:rsidRPr="00771904">
              <w:rPr>
                <w:b/>
                <w:bCs w:val="0"/>
                <w:iCs/>
                <w:sz w:val="22"/>
                <w:szCs w:val="22"/>
              </w:rPr>
              <w:t xml:space="preserve">Formula:  </w:t>
            </w:r>
            <w:proofErr w:type="spellStart"/>
            <w:r w:rsidRPr="00771904">
              <w:rPr>
                <w:b/>
                <w:bCs w:val="0"/>
                <w:iCs/>
                <w:sz w:val="22"/>
                <w:szCs w:val="22"/>
              </w:rPr>
              <w:t>d+e</w:t>
            </w:r>
            <w:proofErr w:type="spellEnd"/>
            <w:r w:rsidRPr="00771904">
              <w:rPr>
                <w:b/>
                <w:bCs w:val="0"/>
                <w:iCs/>
                <w:sz w:val="22"/>
                <w:szCs w:val="22"/>
              </w:rPr>
              <w:t xml:space="preserve">/ </w:t>
            </w:r>
            <w:proofErr w:type="spellStart"/>
            <w:r w:rsidRPr="00771904">
              <w:rPr>
                <w:b/>
                <w:bCs w:val="0"/>
                <w:iCs/>
                <w:sz w:val="22"/>
                <w:szCs w:val="22"/>
              </w:rPr>
              <w:t>a+b+c+d+e</w:t>
            </w:r>
            <w:proofErr w:type="spellEnd"/>
            <w:r w:rsidRPr="00771904">
              <w:rPr>
                <w:b/>
                <w:bCs w:val="0"/>
                <w:iCs/>
                <w:sz w:val="22"/>
                <w:szCs w:val="22"/>
              </w:rPr>
              <w:t xml:space="preserve">  (</w:t>
            </w:r>
            <w:r w:rsidR="00C91755" w:rsidRPr="00771904">
              <w:rPr>
                <w:b/>
                <w:bCs w:val="0"/>
                <w:iCs/>
                <w:sz w:val="22"/>
                <w:szCs w:val="22"/>
              </w:rPr>
              <w:t>1274/2430</w:t>
            </w:r>
            <w:r w:rsidRPr="00771904">
              <w:rPr>
                <w:b/>
                <w:bCs w:val="0"/>
                <w:iCs/>
                <w:sz w:val="22"/>
                <w:szCs w:val="22"/>
              </w:rPr>
              <w:t>)</w:t>
            </w:r>
          </w:p>
        </w:tc>
        <w:tc>
          <w:tcPr>
            <w:tcW w:w="1170" w:type="dxa"/>
            <w:vAlign w:val="center"/>
          </w:tcPr>
          <w:p w:rsidR="009C0999" w:rsidRPr="00771904" w:rsidRDefault="009C0999" w:rsidP="00DE6D00">
            <w:pPr>
              <w:jc w:val="center"/>
              <w:rPr>
                <w:rFonts w:cs="Arial"/>
              </w:rPr>
            </w:pPr>
            <w:r w:rsidRPr="00771904">
              <w:rPr>
                <w:rFonts w:cs="Arial"/>
              </w:rPr>
              <w:t>50.6</w:t>
            </w:r>
          </w:p>
          <w:p w:rsidR="009C0999" w:rsidRPr="00771904" w:rsidRDefault="009C0999" w:rsidP="00DE6D00">
            <w:pPr>
              <w:jc w:val="center"/>
              <w:rPr>
                <w:rFonts w:cs="Arial"/>
              </w:rPr>
            </w:pPr>
            <w:r w:rsidRPr="00771904">
              <w:rPr>
                <w:rFonts w:cs="Arial"/>
                <w:color w:val="000000"/>
                <w:szCs w:val="22"/>
              </w:rPr>
              <w:t>(n=2554)</w:t>
            </w:r>
          </w:p>
        </w:tc>
        <w:tc>
          <w:tcPr>
            <w:tcW w:w="1170" w:type="dxa"/>
            <w:vAlign w:val="center"/>
          </w:tcPr>
          <w:p w:rsidR="009C0999" w:rsidRPr="00771904" w:rsidRDefault="00413EB8" w:rsidP="009C0999">
            <w:pPr>
              <w:pStyle w:val="BodyText2"/>
              <w:jc w:val="center"/>
              <w:rPr>
                <w:color w:val="000000"/>
                <w:sz w:val="22"/>
                <w:szCs w:val="22"/>
              </w:rPr>
            </w:pPr>
            <w:r w:rsidRPr="00771904">
              <w:rPr>
                <w:color w:val="000000"/>
                <w:sz w:val="22"/>
                <w:szCs w:val="22"/>
              </w:rPr>
              <w:t>52.4</w:t>
            </w:r>
            <w:r w:rsidR="009C0999" w:rsidRPr="00771904">
              <w:rPr>
                <w:color w:val="000000"/>
                <w:sz w:val="22"/>
                <w:szCs w:val="22"/>
              </w:rPr>
              <w:t>%</w:t>
            </w:r>
          </w:p>
          <w:p w:rsidR="009C0999" w:rsidRPr="00771904" w:rsidRDefault="009C0999" w:rsidP="009C0999">
            <w:pPr>
              <w:jc w:val="center"/>
              <w:rPr>
                <w:rFonts w:cs="Arial"/>
              </w:rPr>
            </w:pPr>
            <w:r w:rsidRPr="00771904">
              <w:rPr>
                <w:rFonts w:cs="Arial"/>
                <w:color w:val="000000"/>
                <w:szCs w:val="22"/>
              </w:rPr>
              <w:t>(n=</w:t>
            </w:r>
            <w:r w:rsidR="00413EB8" w:rsidRPr="00771904">
              <w:rPr>
                <w:rFonts w:cs="Arial"/>
                <w:color w:val="000000"/>
                <w:szCs w:val="22"/>
              </w:rPr>
              <w:t>2430</w:t>
            </w:r>
            <w:r w:rsidRPr="00771904">
              <w:rPr>
                <w:rFonts w:cs="Arial"/>
                <w:color w:val="000000"/>
                <w:szCs w:val="22"/>
              </w:rPr>
              <w:t>)</w:t>
            </w:r>
          </w:p>
        </w:tc>
        <w:tc>
          <w:tcPr>
            <w:tcW w:w="1440" w:type="dxa"/>
            <w:vAlign w:val="center"/>
          </w:tcPr>
          <w:p w:rsidR="009C0999" w:rsidRPr="00771904" w:rsidRDefault="009C0999" w:rsidP="00CC73D9">
            <w:pPr>
              <w:jc w:val="center"/>
              <w:rPr>
                <w:rFonts w:cs="Arial"/>
              </w:rPr>
            </w:pPr>
            <w:r w:rsidRPr="00771904">
              <w:rPr>
                <w:rFonts w:cs="Arial"/>
              </w:rPr>
              <w:t>53.8%</w:t>
            </w:r>
          </w:p>
        </w:tc>
      </w:tr>
      <w:tr w:rsidR="00A8228E" w:rsidRPr="00771904" w:rsidTr="00353F91">
        <w:tc>
          <w:tcPr>
            <w:tcW w:w="9648" w:type="dxa"/>
            <w:gridSpan w:val="4"/>
            <w:tcBorders>
              <w:top w:val="single" w:sz="4" w:space="0" w:color="auto"/>
              <w:left w:val="single" w:sz="4" w:space="0" w:color="auto"/>
              <w:bottom w:val="single" w:sz="4" w:space="0" w:color="auto"/>
              <w:right w:val="single" w:sz="4" w:space="0" w:color="auto"/>
            </w:tcBorders>
            <w:shd w:val="clear" w:color="auto" w:fill="D9D9D9"/>
          </w:tcPr>
          <w:p w:rsidR="00A8228E" w:rsidRPr="00771904" w:rsidRDefault="00A8228E" w:rsidP="00E403FD">
            <w:pPr>
              <w:pStyle w:val="BodyText2"/>
              <w:rPr>
                <w:b/>
                <w:bCs w:val="0"/>
                <w:color w:val="000000"/>
                <w:sz w:val="22"/>
                <w:szCs w:val="22"/>
              </w:rPr>
            </w:pPr>
            <w:r w:rsidRPr="00771904">
              <w:rPr>
                <w:b/>
                <w:bCs w:val="0"/>
                <w:color w:val="000000"/>
                <w:sz w:val="22"/>
                <w:szCs w:val="22"/>
              </w:rPr>
              <w:t xml:space="preserve">Outcome C: </w:t>
            </w:r>
            <w:r w:rsidRPr="00771904">
              <w:rPr>
                <w:b/>
                <w:color w:val="000000"/>
                <w:sz w:val="22"/>
                <w:szCs w:val="22"/>
              </w:rPr>
              <w:t>Use of appropriate behaviors to meet their needs</w:t>
            </w:r>
          </w:p>
        </w:tc>
      </w:tr>
      <w:tr w:rsidR="009C0999" w:rsidRPr="00771904" w:rsidTr="009639BE">
        <w:tc>
          <w:tcPr>
            <w:tcW w:w="5868" w:type="dxa"/>
            <w:tcBorders>
              <w:top w:val="single" w:sz="4" w:space="0" w:color="auto"/>
              <w:left w:val="single" w:sz="4" w:space="0" w:color="auto"/>
              <w:bottom w:val="single" w:sz="4" w:space="0" w:color="auto"/>
              <w:right w:val="single" w:sz="4" w:space="0" w:color="auto"/>
            </w:tcBorders>
          </w:tcPr>
          <w:p w:rsidR="009C0999" w:rsidRPr="00771904" w:rsidRDefault="009C0999" w:rsidP="00C91755">
            <w:pPr>
              <w:pStyle w:val="BodyText2"/>
              <w:numPr>
                <w:ilvl w:val="0"/>
                <w:numId w:val="15"/>
              </w:numPr>
              <w:tabs>
                <w:tab w:val="left" w:pos="360"/>
              </w:tabs>
              <w:spacing w:before="0" w:after="0"/>
              <w:ind w:left="360"/>
              <w:rPr>
                <w:b/>
                <w:bCs w:val="0"/>
                <w:sz w:val="22"/>
                <w:szCs w:val="22"/>
              </w:rPr>
            </w:pPr>
            <w:r w:rsidRPr="00771904">
              <w:rPr>
                <w:bCs w:val="0"/>
                <w:iCs/>
                <w:sz w:val="22"/>
                <w:szCs w:val="22"/>
              </w:rPr>
              <w:t xml:space="preserve">Of those children who entered or exited the program below age expectations in Outcome C, the percent who substantially increased their rate of growth by the time they exited the program.    </w:t>
            </w:r>
            <w:r w:rsidRPr="00771904">
              <w:rPr>
                <w:bCs w:val="0"/>
                <w:iCs/>
                <w:sz w:val="22"/>
                <w:szCs w:val="22"/>
              </w:rPr>
              <w:br/>
            </w:r>
            <w:r w:rsidRPr="00771904">
              <w:rPr>
                <w:b/>
                <w:bCs w:val="0"/>
                <w:iCs/>
                <w:sz w:val="22"/>
                <w:szCs w:val="22"/>
              </w:rPr>
              <w:t xml:space="preserve">Formula:  </w:t>
            </w:r>
            <w:proofErr w:type="spellStart"/>
            <w:r w:rsidRPr="00771904">
              <w:rPr>
                <w:b/>
                <w:bCs w:val="0"/>
                <w:iCs/>
                <w:sz w:val="22"/>
                <w:szCs w:val="22"/>
              </w:rPr>
              <w:t>c+d</w:t>
            </w:r>
            <w:proofErr w:type="spellEnd"/>
            <w:r w:rsidRPr="00771904">
              <w:rPr>
                <w:b/>
                <w:bCs w:val="0"/>
                <w:iCs/>
                <w:sz w:val="22"/>
                <w:szCs w:val="22"/>
              </w:rPr>
              <w:t xml:space="preserve">/ </w:t>
            </w:r>
            <w:proofErr w:type="spellStart"/>
            <w:r w:rsidRPr="00771904">
              <w:rPr>
                <w:b/>
                <w:bCs w:val="0"/>
                <w:iCs/>
                <w:sz w:val="22"/>
                <w:szCs w:val="22"/>
              </w:rPr>
              <w:t>a+b+c+d</w:t>
            </w:r>
            <w:proofErr w:type="spellEnd"/>
            <w:r w:rsidRPr="00771904">
              <w:rPr>
                <w:b/>
                <w:bCs w:val="0"/>
                <w:iCs/>
                <w:sz w:val="22"/>
                <w:szCs w:val="22"/>
              </w:rPr>
              <w:t xml:space="preserve">  (</w:t>
            </w:r>
            <w:r w:rsidR="00C91755" w:rsidRPr="00771904">
              <w:rPr>
                <w:b/>
                <w:bCs w:val="0"/>
                <w:iCs/>
                <w:sz w:val="22"/>
                <w:szCs w:val="22"/>
              </w:rPr>
              <w:t>1618/1882</w:t>
            </w:r>
            <w:r w:rsidRPr="00771904">
              <w:rPr>
                <w:b/>
                <w:bCs w:val="0"/>
                <w:iCs/>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9C0999" w:rsidRPr="00771904" w:rsidRDefault="009C0999" w:rsidP="00DE6D00">
            <w:pPr>
              <w:pStyle w:val="BodyText2"/>
              <w:jc w:val="center"/>
              <w:rPr>
                <w:color w:val="000000"/>
                <w:sz w:val="22"/>
                <w:szCs w:val="22"/>
              </w:rPr>
            </w:pPr>
            <w:r w:rsidRPr="00771904">
              <w:rPr>
                <w:color w:val="000000"/>
                <w:sz w:val="22"/>
                <w:szCs w:val="22"/>
              </w:rPr>
              <w:t>87.8%</w:t>
            </w:r>
          </w:p>
          <w:p w:rsidR="009C0999" w:rsidRPr="00771904" w:rsidRDefault="009C0999" w:rsidP="00DE6D00">
            <w:pPr>
              <w:jc w:val="center"/>
              <w:rPr>
                <w:rFonts w:cs="Arial"/>
                <w:color w:val="000000"/>
                <w:szCs w:val="22"/>
              </w:rPr>
            </w:pPr>
            <w:r w:rsidRPr="00771904">
              <w:rPr>
                <w:rFonts w:cs="Arial"/>
                <w:color w:val="000000"/>
                <w:szCs w:val="22"/>
              </w:rPr>
              <w:t>(n=2054)</w:t>
            </w:r>
          </w:p>
        </w:tc>
        <w:tc>
          <w:tcPr>
            <w:tcW w:w="1170" w:type="dxa"/>
            <w:tcBorders>
              <w:top w:val="single" w:sz="4" w:space="0" w:color="auto"/>
              <w:left w:val="single" w:sz="4" w:space="0" w:color="auto"/>
              <w:bottom w:val="single" w:sz="4" w:space="0" w:color="auto"/>
              <w:right w:val="single" w:sz="4" w:space="0" w:color="auto"/>
            </w:tcBorders>
            <w:vAlign w:val="center"/>
          </w:tcPr>
          <w:p w:rsidR="009C0999" w:rsidRPr="00771904" w:rsidRDefault="00413EB8" w:rsidP="00DE6D00">
            <w:pPr>
              <w:pStyle w:val="BodyText2"/>
              <w:jc w:val="center"/>
              <w:rPr>
                <w:color w:val="000000"/>
                <w:sz w:val="22"/>
                <w:szCs w:val="22"/>
              </w:rPr>
            </w:pPr>
            <w:r w:rsidRPr="00771904">
              <w:rPr>
                <w:color w:val="000000"/>
                <w:sz w:val="22"/>
                <w:szCs w:val="22"/>
              </w:rPr>
              <w:t>86.0</w:t>
            </w:r>
            <w:r w:rsidR="009C0999" w:rsidRPr="00771904">
              <w:rPr>
                <w:color w:val="000000"/>
                <w:sz w:val="22"/>
                <w:szCs w:val="22"/>
              </w:rPr>
              <w:t>%</w:t>
            </w:r>
          </w:p>
          <w:p w:rsidR="009C0999" w:rsidRPr="00771904" w:rsidRDefault="009C0999" w:rsidP="00DE6D00">
            <w:pPr>
              <w:jc w:val="center"/>
              <w:rPr>
                <w:rFonts w:cs="Arial"/>
                <w:color w:val="000000"/>
                <w:szCs w:val="22"/>
              </w:rPr>
            </w:pPr>
            <w:r w:rsidRPr="00771904">
              <w:rPr>
                <w:rFonts w:cs="Arial"/>
                <w:color w:val="000000"/>
                <w:szCs w:val="22"/>
              </w:rPr>
              <w:t>(n=</w:t>
            </w:r>
            <w:r w:rsidR="00413EB8" w:rsidRPr="00771904">
              <w:rPr>
                <w:rFonts w:cs="Arial"/>
                <w:color w:val="000000"/>
                <w:szCs w:val="22"/>
              </w:rPr>
              <w:t>1882</w:t>
            </w:r>
            <w:r w:rsidRPr="00771904">
              <w:rPr>
                <w:rFonts w:cs="Arial"/>
                <w:color w:val="000000"/>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9C0999" w:rsidRPr="00771904" w:rsidRDefault="009C0999" w:rsidP="00353F91">
            <w:pPr>
              <w:pStyle w:val="BodyText2"/>
              <w:jc w:val="center"/>
              <w:rPr>
                <w:color w:val="000000"/>
                <w:sz w:val="22"/>
                <w:szCs w:val="22"/>
              </w:rPr>
            </w:pPr>
            <w:r w:rsidRPr="00771904">
              <w:rPr>
                <w:color w:val="000000"/>
                <w:sz w:val="22"/>
                <w:szCs w:val="22"/>
              </w:rPr>
              <w:t>88.5%</w:t>
            </w:r>
          </w:p>
        </w:tc>
      </w:tr>
      <w:tr w:rsidR="009C0999" w:rsidRPr="00771904" w:rsidTr="009639BE">
        <w:tc>
          <w:tcPr>
            <w:tcW w:w="5868" w:type="dxa"/>
            <w:tcBorders>
              <w:top w:val="single" w:sz="4" w:space="0" w:color="auto"/>
              <w:left w:val="single" w:sz="4" w:space="0" w:color="auto"/>
              <w:bottom w:val="single" w:sz="4" w:space="0" w:color="auto"/>
              <w:right w:val="single" w:sz="4" w:space="0" w:color="auto"/>
            </w:tcBorders>
          </w:tcPr>
          <w:p w:rsidR="009C0999" w:rsidRPr="00771904" w:rsidRDefault="009C0999" w:rsidP="00C91755">
            <w:pPr>
              <w:pStyle w:val="BodyText2"/>
              <w:numPr>
                <w:ilvl w:val="0"/>
                <w:numId w:val="15"/>
              </w:numPr>
              <w:ind w:left="360"/>
              <w:rPr>
                <w:bCs w:val="0"/>
                <w:iCs/>
                <w:sz w:val="22"/>
                <w:szCs w:val="22"/>
              </w:rPr>
            </w:pPr>
            <w:r w:rsidRPr="00771904">
              <w:rPr>
                <w:bCs w:val="0"/>
                <w:iCs/>
                <w:sz w:val="22"/>
                <w:szCs w:val="22"/>
              </w:rPr>
              <w:t xml:space="preserve">The percent of children who were functioning within age expectations in Outcome C by the time they exited the program.   </w:t>
            </w:r>
            <w:r w:rsidRPr="00771904">
              <w:rPr>
                <w:bCs w:val="0"/>
                <w:iCs/>
                <w:sz w:val="22"/>
                <w:szCs w:val="22"/>
              </w:rPr>
              <w:br/>
            </w:r>
            <w:r w:rsidRPr="00771904">
              <w:rPr>
                <w:b/>
                <w:bCs w:val="0"/>
                <w:iCs/>
                <w:sz w:val="22"/>
                <w:szCs w:val="22"/>
              </w:rPr>
              <w:t xml:space="preserve">Formula:  </w:t>
            </w:r>
            <w:proofErr w:type="spellStart"/>
            <w:r w:rsidRPr="00771904">
              <w:rPr>
                <w:b/>
                <w:bCs w:val="0"/>
                <w:iCs/>
                <w:sz w:val="22"/>
                <w:szCs w:val="22"/>
              </w:rPr>
              <w:t>d+e</w:t>
            </w:r>
            <w:proofErr w:type="spellEnd"/>
            <w:r w:rsidRPr="00771904">
              <w:rPr>
                <w:b/>
                <w:bCs w:val="0"/>
                <w:iCs/>
                <w:sz w:val="22"/>
                <w:szCs w:val="22"/>
              </w:rPr>
              <w:t xml:space="preserve">/ </w:t>
            </w:r>
            <w:proofErr w:type="spellStart"/>
            <w:r w:rsidRPr="00771904">
              <w:rPr>
                <w:b/>
                <w:bCs w:val="0"/>
                <w:iCs/>
                <w:sz w:val="22"/>
                <w:szCs w:val="22"/>
              </w:rPr>
              <w:t>a+b+c+d+e</w:t>
            </w:r>
            <w:proofErr w:type="spellEnd"/>
            <w:r w:rsidRPr="00771904">
              <w:rPr>
                <w:b/>
                <w:bCs w:val="0"/>
                <w:iCs/>
                <w:sz w:val="22"/>
                <w:szCs w:val="22"/>
              </w:rPr>
              <w:t xml:space="preserve">  (</w:t>
            </w:r>
            <w:r w:rsidR="00C91755" w:rsidRPr="00771904">
              <w:rPr>
                <w:b/>
                <w:bCs w:val="0"/>
                <w:iCs/>
                <w:sz w:val="22"/>
                <w:szCs w:val="22"/>
              </w:rPr>
              <w:t>1699</w:t>
            </w:r>
            <w:r w:rsidRPr="00771904">
              <w:rPr>
                <w:b/>
                <w:bCs w:val="0"/>
                <w:iCs/>
                <w:sz w:val="22"/>
                <w:szCs w:val="22"/>
              </w:rPr>
              <w:t>/2</w:t>
            </w:r>
            <w:r w:rsidR="00C91755" w:rsidRPr="00771904">
              <w:rPr>
                <w:b/>
                <w:bCs w:val="0"/>
                <w:iCs/>
                <w:sz w:val="22"/>
                <w:szCs w:val="22"/>
              </w:rPr>
              <w:t>430</w:t>
            </w:r>
            <w:r w:rsidRPr="00771904">
              <w:rPr>
                <w:b/>
                <w:bCs w:val="0"/>
                <w:iCs/>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9C0999" w:rsidRPr="00771904" w:rsidRDefault="009C0999" w:rsidP="00DE6D00">
            <w:pPr>
              <w:pStyle w:val="BodyText2"/>
              <w:jc w:val="center"/>
              <w:rPr>
                <w:color w:val="000000"/>
                <w:sz w:val="22"/>
                <w:szCs w:val="22"/>
              </w:rPr>
            </w:pPr>
            <w:r w:rsidRPr="00771904">
              <w:rPr>
                <w:color w:val="000000"/>
                <w:sz w:val="22"/>
                <w:szCs w:val="22"/>
              </w:rPr>
              <w:t>69.6%</w:t>
            </w:r>
          </w:p>
          <w:p w:rsidR="009C0999" w:rsidRPr="00771904" w:rsidRDefault="009C0999" w:rsidP="00DE6D00">
            <w:pPr>
              <w:jc w:val="center"/>
              <w:rPr>
                <w:rFonts w:cs="Arial"/>
                <w:color w:val="000000"/>
                <w:szCs w:val="22"/>
              </w:rPr>
            </w:pPr>
            <w:r w:rsidRPr="00771904">
              <w:rPr>
                <w:rFonts w:cs="Arial"/>
                <w:color w:val="000000"/>
                <w:szCs w:val="22"/>
              </w:rPr>
              <w:t>(n=2554)</w:t>
            </w:r>
          </w:p>
        </w:tc>
        <w:tc>
          <w:tcPr>
            <w:tcW w:w="1170" w:type="dxa"/>
            <w:tcBorders>
              <w:top w:val="single" w:sz="4" w:space="0" w:color="auto"/>
              <w:left w:val="single" w:sz="4" w:space="0" w:color="auto"/>
              <w:bottom w:val="single" w:sz="4" w:space="0" w:color="auto"/>
              <w:right w:val="single" w:sz="4" w:space="0" w:color="auto"/>
            </w:tcBorders>
            <w:vAlign w:val="center"/>
          </w:tcPr>
          <w:p w:rsidR="009C0999" w:rsidRPr="00771904" w:rsidRDefault="00413EB8" w:rsidP="00DE6D00">
            <w:pPr>
              <w:pStyle w:val="BodyText2"/>
              <w:jc w:val="center"/>
              <w:rPr>
                <w:color w:val="000000"/>
                <w:sz w:val="22"/>
                <w:szCs w:val="22"/>
              </w:rPr>
            </w:pPr>
            <w:r w:rsidRPr="00771904">
              <w:rPr>
                <w:color w:val="000000"/>
                <w:sz w:val="22"/>
                <w:szCs w:val="22"/>
              </w:rPr>
              <w:t>69.9</w:t>
            </w:r>
            <w:r w:rsidR="009C0999" w:rsidRPr="00771904">
              <w:rPr>
                <w:color w:val="000000"/>
                <w:sz w:val="22"/>
                <w:szCs w:val="22"/>
              </w:rPr>
              <w:t>%</w:t>
            </w:r>
          </w:p>
          <w:p w:rsidR="009C0999" w:rsidRPr="00771904" w:rsidRDefault="009C0999" w:rsidP="00DE6D00">
            <w:pPr>
              <w:jc w:val="center"/>
              <w:rPr>
                <w:rFonts w:cs="Arial"/>
              </w:rPr>
            </w:pPr>
            <w:r w:rsidRPr="00771904">
              <w:rPr>
                <w:rFonts w:cs="Arial"/>
                <w:color w:val="000000"/>
                <w:szCs w:val="22"/>
              </w:rPr>
              <w:t>(n=</w:t>
            </w:r>
            <w:r w:rsidR="00413EB8" w:rsidRPr="00771904">
              <w:rPr>
                <w:rFonts w:cs="Arial"/>
                <w:color w:val="000000"/>
                <w:szCs w:val="22"/>
              </w:rPr>
              <w:t>2430</w:t>
            </w:r>
            <w:r w:rsidRPr="00771904">
              <w:rPr>
                <w:rFonts w:cs="Arial"/>
                <w:color w:val="000000"/>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9C0999" w:rsidRPr="00771904" w:rsidRDefault="009C0999" w:rsidP="00353F91">
            <w:pPr>
              <w:pStyle w:val="BodyText2"/>
              <w:jc w:val="center"/>
              <w:rPr>
                <w:color w:val="000000"/>
                <w:sz w:val="22"/>
                <w:szCs w:val="22"/>
              </w:rPr>
            </w:pPr>
            <w:r w:rsidRPr="00771904">
              <w:rPr>
                <w:color w:val="000000"/>
                <w:sz w:val="22"/>
                <w:szCs w:val="22"/>
              </w:rPr>
              <w:t>53.2%</w:t>
            </w:r>
          </w:p>
        </w:tc>
      </w:tr>
    </w:tbl>
    <w:p w:rsidR="000E1C7F" w:rsidRPr="00771904" w:rsidRDefault="000E1C7F" w:rsidP="004C798B">
      <w:pPr>
        <w:rPr>
          <w:rFonts w:cs="Arial"/>
          <w:szCs w:val="22"/>
        </w:rPr>
      </w:pPr>
      <w:r w:rsidRPr="00771904">
        <w:rPr>
          <w:rFonts w:cs="Arial"/>
          <w:szCs w:val="22"/>
        </w:rPr>
        <w:br w:type="page"/>
      </w:r>
      <w:r w:rsidRPr="00771904">
        <w:rPr>
          <w:rFonts w:cs="Arial"/>
          <w:szCs w:val="22"/>
        </w:rPr>
        <w:lastRenderedPageBreak/>
        <w:t>These are the progress categories for each Outcome</w:t>
      </w:r>
      <w:r w:rsidR="00C56202" w:rsidRPr="00771904">
        <w:rPr>
          <w:rFonts w:cs="Arial"/>
          <w:szCs w:val="22"/>
        </w:rPr>
        <w:t xml:space="preserve"> for children who exited in the ‘1</w:t>
      </w:r>
      <w:r w:rsidR="00C91755" w:rsidRPr="00771904">
        <w:rPr>
          <w:rFonts w:cs="Arial"/>
          <w:szCs w:val="22"/>
        </w:rPr>
        <w:t>2-‘13</w:t>
      </w:r>
      <w:r w:rsidR="00C56202" w:rsidRPr="00771904">
        <w:rPr>
          <w:rFonts w:cs="Arial"/>
          <w:szCs w:val="22"/>
        </w:rPr>
        <w:t xml:space="preserve"> year</w:t>
      </w:r>
      <w:r w:rsidRPr="00771904">
        <w:rPr>
          <w:rFonts w:cs="Arial"/>
          <w:szCs w:val="22"/>
        </w:rPr>
        <w:t>.</w:t>
      </w:r>
    </w:p>
    <w:tbl>
      <w:tblPr>
        <w:tblW w:w="5076" w:type="pct"/>
        <w:tblInd w:w="-72" w:type="dxa"/>
        <w:tblLayout w:type="fixed"/>
        <w:tblLook w:val="0000" w:firstRow="0" w:lastRow="0" w:firstColumn="0" w:lastColumn="0" w:noHBand="0" w:noVBand="0"/>
      </w:tblPr>
      <w:tblGrid>
        <w:gridCol w:w="6930"/>
        <w:gridCol w:w="1441"/>
        <w:gridCol w:w="1351"/>
      </w:tblGrid>
      <w:tr w:rsidR="006E74E4" w:rsidRPr="00771904" w:rsidTr="00363251">
        <w:trPr>
          <w:trHeight w:val="263"/>
        </w:trPr>
        <w:tc>
          <w:tcPr>
            <w:tcW w:w="3564" w:type="pct"/>
            <w:tcBorders>
              <w:top w:val="single" w:sz="4" w:space="0" w:color="auto"/>
              <w:left w:val="single" w:sz="4" w:space="0" w:color="auto"/>
              <w:bottom w:val="single" w:sz="4" w:space="0" w:color="auto"/>
              <w:right w:val="single" w:sz="4" w:space="0" w:color="auto"/>
            </w:tcBorders>
            <w:noWrap/>
            <w:vAlign w:val="center"/>
          </w:tcPr>
          <w:p w:rsidR="006E74E4" w:rsidRPr="00771904" w:rsidRDefault="006E74E4">
            <w:pPr>
              <w:rPr>
                <w:rFonts w:cs="Arial"/>
                <w:color w:val="000000"/>
                <w:szCs w:val="22"/>
              </w:rPr>
            </w:pPr>
            <w:r w:rsidRPr="00771904">
              <w:rPr>
                <w:rFonts w:cs="Arial"/>
                <w:color w:val="000000"/>
                <w:szCs w:val="22"/>
              </w:rPr>
              <w:t>A</w:t>
            </w:r>
            <w:r w:rsidR="00C56202" w:rsidRPr="00771904">
              <w:rPr>
                <w:rFonts w:cs="Arial"/>
                <w:color w:val="000000"/>
                <w:szCs w:val="22"/>
              </w:rPr>
              <w:t>.</w:t>
            </w:r>
            <w:r w:rsidRPr="00771904">
              <w:rPr>
                <w:rFonts w:cs="Arial"/>
                <w:color w:val="000000"/>
                <w:szCs w:val="22"/>
              </w:rPr>
              <w:t xml:space="preserve"> </w:t>
            </w:r>
            <w:r w:rsidR="00C56202" w:rsidRPr="00771904">
              <w:rPr>
                <w:rFonts w:cs="Arial"/>
                <w:szCs w:val="22"/>
              </w:rPr>
              <w:t>Positive social-emotional skills (including social relationships):</w:t>
            </w:r>
          </w:p>
        </w:tc>
        <w:tc>
          <w:tcPr>
            <w:tcW w:w="741" w:type="pct"/>
            <w:tcBorders>
              <w:top w:val="single" w:sz="4" w:space="0" w:color="auto"/>
              <w:left w:val="single" w:sz="4" w:space="0" w:color="auto"/>
              <w:bottom w:val="single" w:sz="4" w:space="0" w:color="auto"/>
              <w:right w:val="single" w:sz="4" w:space="0" w:color="auto"/>
            </w:tcBorders>
            <w:noWrap/>
            <w:vAlign w:val="center"/>
          </w:tcPr>
          <w:p w:rsidR="006E74E4" w:rsidRPr="00771904" w:rsidRDefault="006E74E4" w:rsidP="00C56202">
            <w:pPr>
              <w:jc w:val="center"/>
              <w:rPr>
                <w:rFonts w:cs="Arial"/>
                <w:color w:val="000000"/>
                <w:szCs w:val="22"/>
              </w:rPr>
            </w:pPr>
            <w:r w:rsidRPr="00771904">
              <w:rPr>
                <w:rFonts w:cs="Arial"/>
                <w:color w:val="000000"/>
                <w:szCs w:val="22"/>
              </w:rPr>
              <w:t>Number</w:t>
            </w:r>
          </w:p>
          <w:p w:rsidR="00C56202" w:rsidRPr="00771904" w:rsidRDefault="00C56202" w:rsidP="00C56202">
            <w:pPr>
              <w:jc w:val="center"/>
              <w:rPr>
                <w:rFonts w:cs="Arial"/>
                <w:color w:val="000000"/>
                <w:szCs w:val="22"/>
              </w:rPr>
            </w:pPr>
            <w:r w:rsidRPr="00771904">
              <w:rPr>
                <w:rFonts w:cs="Arial"/>
                <w:color w:val="000000"/>
                <w:szCs w:val="22"/>
              </w:rPr>
              <w:t>of Children</w:t>
            </w:r>
          </w:p>
        </w:tc>
        <w:tc>
          <w:tcPr>
            <w:tcW w:w="695" w:type="pct"/>
            <w:tcBorders>
              <w:top w:val="single" w:sz="4" w:space="0" w:color="auto"/>
              <w:left w:val="single" w:sz="4" w:space="0" w:color="auto"/>
              <w:bottom w:val="single" w:sz="4" w:space="0" w:color="auto"/>
              <w:right w:val="single" w:sz="4" w:space="0" w:color="auto"/>
            </w:tcBorders>
            <w:noWrap/>
            <w:vAlign w:val="center"/>
          </w:tcPr>
          <w:p w:rsidR="006E74E4" w:rsidRPr="00771904" w:rsidRDefault="006E74E4" w:rsidP="00C56202">
            <w:pPr>
              <w:jc w:val="center"/>
              <w:rPr>
                <w:rFonts w:cs="Arial"/>
                <w:color w:val="000000"/>
                <w:szCs w:val="22"/>
              </w:rPr>
            </w:pPr>
            <w:r w:rsidRPr="00771904">
              <w:rPr>
                <w:rFonts w:cs="Arial"/>
                <w:color w:val="000000"/>
                <w:szCs w:val="22"/>
              </w:rPr>
              <w:t>Percentage</w:t>
            </w:r>
            <w:r w:rsidR="00C56202" w:rsidRPr="00771904">
              <w:rPr>
                <w:rFonts w:cs="Arial"/>
                <w:color w:val="000000"/>
                <w:szCs w:val="22"/>
              </w:rPr>
              <w:t xml:space="preserve"> of Children</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a. Children who did not improve functioning</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22</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b. Children who improved functioning but not sufficient to move nearer to functioning comparable to same age peers</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409</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17%</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 xml:space="preserve">c. Children who improved functioning to a level nearer to same-aged peers but did not reach it </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555</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23%</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d. Children who improved functioning to reach a level comparable to same-aged peers</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784</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32%</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e. Children who maintained functioning at a level comparable to same-aged peers</w:t>
            </w:r>
          </w:p>
        </w:tc>
        <w:tc>
          <w:tcPr>
            <w:tcW w:w="741" w:type="pct"/>
            <w:tcBorders>
              <w:top w:val="nil"/>
              <w:left w:val="nil"/>
              <w:bottom w:val="thinThickLargeGap" w:sz="2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660</w:t>
            </w:r>
          </w:p>
        </w:tc>
        <w:tc>
          <w:tcPr>
            <w:tcW w:w="695" w:type="pct"/>
            <w:tcBorders>
              <w:top w:val="nil"/>
              <w:left w:val="nil"/>
              <w:bottom w:val="thinThickLargeGap" w:sz="2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27%</w:t>
            </w:r>
          </w:p>
        </w:tc>
      </w:tr>
      <w:bookmarkEnd w:id="4"/>
      <w:bookmarkEnd w:id="5"/>
      <w:tr w:rsidR="00C56202" w:rsidRPr="00771904" w:rsidTr="00363251">
        <w:trPr>
          <w:trHeight w:val="263"/>
        </w:trPr>
        <w:tc>
          <w:tcPr>
            <w:tcW w:w="3564" w:type="pct"/>
            <w:tcBorders>
              <w:top w:val="thinThickLargeGap" w:sz="24" w:space="0" w:color="auto"/>
              <w:left w:val="single" w:sz="4" w:space="0" w:color="auto"/>
              <w:bottom w:val="single" w:sz="4" w:space="0" w:color="auto"/>
              <w:right w:val="single" w:sz="4" w:space="0" w:color="auto"/>
            </w:tcBorders>
            <w:noWrap/>
            <w:vAlign w:val="center"/>
          </w:tcPr>
          <w:p w:rsidR="00C56202" w:rsidRPr="00771904" w:rsidRDefault="00C56202" w:rsidP="00C56202">
            <w:pPr>
              <w:ind w:left="252" w:hanging="252"/>
              <w:rPr>
                <w:rFonts w:cs="Arial"/>
                <w:color w:val="000000"/>
                <w:szCs w:val="22"/>
              </w:rPr>
            </w:pPr>
            <w:r w:rsidRPr="00771904">
              <w:rPr>
                <w:rFonts w:cs="Arial"/>
                <w:color w:val="000000"/>
                <w:szCs w:val="22"/>
              </w:rPr>
              <w:t>B. Acquisition and use of knowledge and skills (including early language/communication and early literacy):</w:t>
            </w:r>
          </w:p>
        </w:tc>
        <w:tc>
          <w:tcPr>
            <w:tcW w:w="741" w:type="pct"/>
            <w:tcBorders>
              <w:top w:val="thinThickLargeGap" w:sz="24" w:space="0" w:color="auto"/>
              <w:left w:val="single" w:sz="4" w:space="0" w:color="auto"/>
              <w:bottom w:val="single" w:sz="4" w:space="0" w:color="auto"/>
              <w:right w:val="single" w:sz="4" w:space="0" w:color="auto"/>
            </w:tcBorders>
            <w:noWrap/>
            <w:vAlign w:val="center"/>
          </w:tcPr>
          <w:p w:rsidR="00C56202" w:rsidRPr="00771904" w:rsidRDefault="00C56202" w:rsidP="00353F91">
            <w:pPr>
              <w:jc w:val="center"/>
              <w:rPr>
                <w:rFonts w:cs="Arial"/>
                <w:color w:val="000000"/>
                <w:szCs w:val="22"/>
              </w:rPr>
            </w:pPr>
            <w:r w:rsidRPr="00771904">
              <w:rPr>
                <w:rFonts w:cs="Arial"/>
                <w:color w:val="000000"/>
                <w:szCs w:val="22"/>
              </w:rPr>
              <w:t>Number</w:t>
            </w:r>
          </w:p>
          <w:p w:rsidR="00C56202" w:rsidRPr="00771904" w:rsidRDefault="00C56202" w:rsidP="00353F91">
            <w:pPr>
              <w:jc w:val="center"/>
              <w:rPr>
                <w:rFonts w:cs="Arial"/>
                <w:color w:val="000000"/>
                <w:szCs w:val="22"/>
              </w:rPr>
            </w:pPr>
            <w:r w:rsidRPr="00771904">
              <w:rPr>
                <w:rFonts w:cs="Arial"/>
                <w:color w:val="000000"/>
                <w:szCs w:val="22"/>
              </w:rPr>
              <w:t>of Children</w:t>
            </w:r>
          </w:p>
        </w:tc>
        <w:tc>
          <w:tcPr>
            <w:tcW w:w="695" w:type="pct"/>
            <w:tcBorders>
              <w:top w:val="thinThickLargeGap" w:sz="24" w:space="0" w:color="auto"/>
              <w:left w:val="single" w:sz="4" w:space="0" w:color="auto"/>
              <w:bottom w:val="single" w:sz="4" w:space="0" w:color="auto"/>
              <w:right w:val="single" w:sz="4" w:space="0" w:color="auto"/>
            </w:tcBorders>
            <w:noWrap/>
            <w:vAlign w:val="center"/>
          </w:tcPr>
          <w:p w:rsidR="00C56202" w:rsidRPr="00771904" w:rsidRDefault="00C56202" w:rsidP="00353F91">
            <w:pPr>
              <w:jc w:val="center"/>
              <w:rPr>
                <w:rFonts w:cs="Arial"/>
                <w:color w:val="000000"/>
                <w:szCs w:val="22"/>
              </w:rPr>
            </w:pPr>
            <w:r w:rsidRPr="00771904">
              <w:rPr>
                <w:rFonts w:cs="Arial"/>
                <w:color w:val="000000"/>
                <w:szCs w:val="22"/>
              </w:rPr>
              <w:t>Percentage of Children</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a. Children who did not improve functioning</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9</w:t>
            </w:r>
          </w:p>
        </w:tc>
        <w:tc>
          <w:tcPr>
            <w:tcW w:w="695" w:type="pct"/>
            <w:tcBorders>
              <w:top w:val="nil"/>
              <w:left w:val="nil"/>
              <w:bottom w:val="single" w:sz="4" w:space="0" w:color="auto"/>
              <w:right w:val="single" w:sz="4" w:space="0" w:color="auto"/>
            </w:tcBorders>
            <w:noWrap/>
            <w:vAlign w:val="center"/>
          </w:tcPr>
          <w:p w:rsidR="00C91755" w:rsidRPr="00771904" w:rsidRDefault="002F59D8" w:rsidP="00C91755">
            <w:pPr>
              <w:jc w:val="center"/>
              <w:rPr>
                <w:rFonts w:cs="Arial"/>
              </w:rPr>
            </w:pPr>
            <w:r w:rsidRPr="00771904">
              <w:rPr>
                <w:rFonts w:cs="Arial"/>
              </w:rPr>
              <w:t>&lt;1</w:t>
            </w:r>
            <w:r w:rsidR="00C91755" w:rsidRPr="00771904">
              <w:rPr>
                <w:rFonts w:cs="Arial"/>
              </w:rPr>
              <w:t>%</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b. Children who improved functioning but not sufficient to move nearer to functioning comparable to same age peers</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362</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15%</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 xml:space="preserve">c. Children who improved functioning to a level nearer to same-aged peers but did not reach it </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785</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32%</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d. Children who improved functioning to reach a level comparable to same-aged peers</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1006</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41%</w:t>
            </w:r>
          </w:p>
        </w:tc>
      </w:tr>
      <w:tr w:rsidR="00C91755" w:rsidRPr="00771904" w:rsidTr="00C91755">
        <w:trPr>
          <w:trHeight w:val="323"/>
        </w:trPr>
        <w:tc>
          <w:tcPr>
            <w:tcW w:w="3564" w:type="pct"/>
            <w:tcBorders>
              <w:top w:val="nil"/>
              <w:left w:val="single" w:sz="4" w:space="0" w:color="auto"/>
              <w:bottom w:val="thinThickLargeGap" w:sz="2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e. Children who maintained functioning at a level comparable to same-aged peers</w:t>
            </w:r>
          </w:p>
        </w:tc>
        <w:tc>
          <w:tcPr>
            <w:tcW w:w="741" w:type="pct"/>
            <w:tcBorders>
              <w:top w:val="nil"/>
              <w:left w:val="nil"/>
              <w:bottom w:val="thinThickLargeGap" w:sz="2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268</w:t>
            </w:r>
          </w:p>
        </w:tc>
        <w:tc>
          <w:tcPr>
            <w:tcW w:w="695" w:type="pct"/>
            <w:tcBorders>
              <w:top w:val="nil"/>
              <w:left w:val="nil"/>
              <w:bottom w:val="thinThickLargeGap" w:sz="2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11%</w:t>
            </w:r>
          </w:p>
        </w:tc>
      </w:tr>
      <w:tr w:rsidR="00C56202" w:rsidRPr="00771904" w:rsidTr="00363251">
        <w:trPr>
          <w:trHeight w:val="263"/>
        </w:trPr>
        <w:tc>
          <w:tcPr>
            <w:tcW w:w="3564" w:type="pct"/>
            <w:tcBorders>
              <w:top w:val="thinThickLargeGap" w:sz="24" w:space="0" w:color="auto"/>
              <w:left w:val="single" w:sz="4" w:space="0" w:color="auto"/>
              <w:bottom w:val="single" w:sz="4" w:space="0" w:color="auto"/>
              <w:right w:val="single" w:sz="4" w:space="0" w:color="auto"/>
            </w:tcBorders>
            <w:noWrap/>
            <w:vAlign w:val="center"/>
          </w:tcPr>
          <w:p w:rsidR="00C56202" w:rsidRPr="00771904" w:rsidRDefault="00C56202">
            <w:pPr>
              <w:rPr>
                <w:rFonts w:cs="Arial"/>
                <w:color w:val="000000"/>
                <w:szCs w:val="22"/>
              </w:rPr>
            </w:pPr>
            <w:r w:rsidRPr="00771904">
              <w:rPr>
                <w:rFonts w:cs="Arial"/>
                <w:color w:val="000000"/>
                <w:szCs w:val="22"/>
              </w:rPr>
              <w:t>C</w:t>
            </w:r>
            <w:r w:rsidR="00F90721" w:rsidRPr="00771904">
              <w:rPr>
                <w:rFonts w:cs="Arial"/>
                <w:color w:val="000000"/>
                <w:szCs w:val="22"/>
              </w:rPr>
              <w:t>.</w:t>
            </w:r>
            <w:r w:rsidRPr="00771904">
              <w:rPr>
                <w:rFonts w:cs="Arial"/>
                <w:color w:val="000000"/>
                <w:szCs w:val="22"/>
              </w:rPr>
              <w:t xml:space="preserve"> Use of appropriate behaviors to meet their needs.</w:t>
            </w:r>
          </w:p>
        </w:tc>
        <w:tc>
          <w:tcPr>
            <w:tcW w:w="741" w:type="pct"/>
            <w:tcBorders>
              <w:top w:val="thinThickLargeGap" w:sz="24" w:space="0" w:color="auto"/>
              <w:left w:val="single" w:sz="4" w:space="0" w:color="auto"/>
              <w:bottom w:val="single" w:sz="4" w:space="0" w:color="auto"/>
              <w:right w:val="single" w:sz="4" w:space="0" w:color="auto"/>
            </w:tcBorders>
            <w:noWrap/>
            <w:vAlign w:val="center"/>
          </w:tcPr>
          <w:p w:rsidR="00C56202" w:rsidRPr="00771904" w:rsidRDefault="00C56202" w:rsidP="00353F91">
            <w:pPr>
              <w:jc w:val="center"/>
              <w:rPr>
                <w:rFonts w:cs="Arial"/>
                <w:color w:val="000000"/>
                <w:szCs w:val="22"/>
              </w:rPr>
            </w:pPr>
            <w:r w:rsidRPr="00771904">
              <w:rPr>
                <w:rFonts w:cs="Arial"/>
                <w:color w:val="000000"/>
                <w:szCs w:val="22"/>
              </w:rPr>
              <w:t>Number</w:t>
            </w:r>
          </w:p>
          <w:p w:rsidR="00C56202" w:rsidRPr="00771904" w:rsidRDefault="00C56202" w:rsidP="00353F91">
            <w:pPr>
              <w:jc w:val="center"/>
              <w:rPr>
                <w:rFonts w:cs="Arial"/>
                <w:color w:val="000000"/>
                <w:szCs w:val="22"/>
              </w:rPr>
            </w:pPr>
            <w:r w:rsidRPr="00771904">
              <w:rPr>
                <w:rFonts w:cs="Arial"/>
                <w:color w:val="000000"/>
                <w:szCs w:val="22"/>
              </w:rPr>
              <w:t>of Children</w:t>
            </w:r>
          </w:p>
        </w:tc>
        <w:tc>
          <w:tcPr>
            <w:tcW w:w="695" w:type="pct"/>
            <w:tcBorders>
              <w:top w:val="thinThickLargeGap" w:sz="24" w:space="0" w:color="auto"/>
              <w:left w:val="single" w:sz="4" w:space="0" w:color="auto"/>
              <w:bottom w:val="single" w:sz="4" w:space="0" w:color="auto"/>
              <w:right w:val="single" w:sz="4" w:space="0" w:color="auto"/>
            </w:tcBorders>
            <w:noWrap/>
            <w:vAlign w:val="center"/>
          </w:tcPr>
          <w:p w:rsidR="00C56202" w:rsidRPr="00771904" w:rsidRDefault="00C56202" w:rsidP="00353F91">
            <w:pPr>
              <w:jc w:val="center"/>
              <w:rPr>
                <w:rFonts w:cs="Arial"/>
                <w:color w:val="000000"/>
                <w:szCs w:val="22"/>
              </w:rPr>
            </w:pPr>
            <w:r w:rsidRPr="00771904">
              <w:rPr>
                <w:rFonts w:cs="Arial"/>
                <w:color w:val="000000"/>
                <w:szCs w:val="22"/>
              </w:rPr>
              <w:t>Percentage of Children</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a. Children who did not improve functioning</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20</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b. Children who improved functioning but not sufficient to move nearer to functioning comparable to same age peers</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244</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10%</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c. Children who improved functioning to a level nearer to same-aged peers but did not reach it</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467</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19%</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 xml:space="preserve">d. Children who improved functioning to reach a level comparable </w:t>
            </w:r>
          </w:p>
          <w:p w:rsidR="00C91755" w:rsidRPr="00771904" w:rsidRDefault="00C91755">
            <w:pPr>
              <w:rPr>
                <w:rFonts w:cs="Arial"/>
                <w:color w:val="000000"/>
                <w:szCs w:val="22"/>
              </w:rPr>
            </w:pPr>
            <w:r w:rsidRPr="00771904">
              <w:rPr>
                <w:rFonts w:cs="Arial"/>
                <w:color w:val="000000"/>
                <w:szCs w:val="22"/>
              </w:rPr>
              <w:t>to same-aged peers</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1151</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47%</w:t>
            </w:r>
          </w:p>
        </w:tc>
      </w:tr>
      <w:tr w:rsidR="00C91755" w:rsidRPr="00771904" w:rsidTr="00C91755">
        <w:trPr>
          <w:trHeight w:val="323"/>
        </w:trPr>
        <w:tc>
          <w:tcPr>
            <w:tcW w:w="3564" w:type="pct"/>
            <w:tcBorders>
              <w:top w:val="nil"/>
              <w:left w:val="single" w:sz="4" w:space="0" w:color="auto"/>
              <w:bottom w:val="single" w:sz="4" w:space="0" w:color="auto"/>
              <w:right w:val="single" w:sz="4" w:space="0" w:color="auto"/>
            </w:tcBorders>
            <w:tcMar>
              <w:left w:w="288" w:type="dxa"/>
              <w:right w:w="115" w:type="dxa"/>
            </w:tcMar>
          </w:tcPr>
          <w:p w:rsidR="00C91755" w:rsidRPr="00771904" w:rsidRDefault="00C91755">
            <w:pPr>
              <w:rPr>
                <w:rFonts w:cs="Arial"/>
                <w:color w:val="000000"/>
                <w:szCs w:val="22"/>
              </w:rPr>
            </w:pPr>
            <w:r w:rsidRPr="00771904">
              <w:rPr>
                <w:rFonts w:cs="Arial"/>
                <w:color w:val="000000"/>
                <w:szCs w:val="22"/>
              </w:rPr>
              <w:t>e. Children who maintained functioning at a level comparable to same-aged peers</w:t>
            </w:r>
          </w:p>
        </w:tc>
        <w:tc>
          <w:tcPr>
            <w:tcW w:w="741"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548</w:t>
            </w:r>
          </w:p>
        </w:tc>
        <w:tc>
          <w:tcPr>
            <w:tcW w:w="695" w:type="pct"/>
            <w:tcBorders>
              <w:top w:val="nil"/>
              <w:left w:val="nil"/>
              <w:bottom w:val="single" w:sz="4" w:space="0" w:color="auto"/>
              <w:right w:val="single" w:sz="4" w:space="0" w:color="auto"/>
            </w:tcBorders>
            <w:noWrap/>
            <w:vAlign w:val="center"/>
          </w:tcPr>
          <w:p w:rsidR="00C91755" w:rsidRPr="00771904" w:rsidRDefault="00C91755" w:rsidP="00C91755">
            <w:pPr>
              <w:jc w:val="center"/>
              <w:rPr>
                <w:rFonts w:cs="Arial"/>
              </w:rPr>
            </w:pPr>
            <w:r w:rsidRPr="00771904">
              <w:rPr>
                <w:rFonts w:cs="Arial"/>
              </w:rPr>
              <w:t>23%</w:t>
            </w:r>
          </w:p>
        </w:tc>
      </w:tr>
      <w:tr w:rsidR="009639BE" w:rsidRPr="00771904" w:rsidTr="00363251">
        <w:trPr>
          <w:trHeight w:val="263"/>
        </w:trPr>
        <w:tc>
          <w:tcPr>
            <w:tcW w:w="3564" w:type="pct"/>
            <w:tcBorders>
              <w:top w:val="nil"/>
              <w:left w:val="nil"/>
              <w:bottom w:val="nil"/>
              <w:right w:val="nil"/>
            </w:tcBorders>
            <w:noWrap/>
            <w:vAlign w:val="bottom"/>
          </w:tcPr>
          <w:p w:rsidR="009639BE" w:rsidRPr="00771904" w:rsidRDefault="009639BE">
            <w:pPr>
              <w:jc w:val="right"/>
              <w:rPr>
                <w:rFonts w:cs="Arial"/>
                <w:color w:val="000000"/>
                <w:szCs w:val="22"/>
              </w:rPr>
            </w:pPr>
            <w:r w:rsidRPr="00771904">
              <w:rPr>
                <w:rFonts w:cs="Arial"/>
                <w:color w:val="000000"/>
                <w:szCs w:val="22"/>
              </w:rPr>
              <w:t>Total</w:t>
            </w:r>
          </w:p>
        </w:tc>
        <w:tc>
          <w:tcPr>
            <w:tcW w:w="741" w:type="pct"/>
            <w:tcBorders>
              <w:top w:val="nil"/>
              <w:left w:val="nil"/>
              <w:bottom w:val="nil"/>
              <w:right w:val="nil"/>
            </w:tcBorders>
            <w:noWrap/>
          </w:tcPr>
          <w:p w:rsidR="009639BE" w:rsidRPr="00771904" w:rsidRDefault="009639BE" w:rsidP="00C91755">
            <w:pPr>
              <w:jc w:val="center"/>
              <w:rPr>
                <w:rFonts w:cs="Arial"/>
                <w:szCs w:val="22"/>
              </w:rPr>
            </w:pPr>
            <w:r w:rsidRPr="00771904">
              <w:rPr>
                <w:rFonts w:cs="Arial"/>
                <w:szCs w:val="22"/>
              </w:rPr>
              <w:t>N=</w:t>
            </w:r>
            <w:r w:rsidR="002E45C4" w:rsidRPr="00771904">
              <w:rPr>
                <w:rFonts w:cs="Arial"/>
                <w:szCs w:val="22"/>
              </w:rPr>
              <w:t>2</w:t>
            </w:r>
            <w:r w:rsidR="00C91755" w:rsidRPr="00771904">
              <w:rPr>
                <w:rFonts w:cs="Arial"/>
                <w:szCs w:val="22"/>
              </w:rPr>
              <w:t>430</w:t>
            </w:r>
          </w:p>
        </w:tc>
        <w:tc>
          <w:tcPr>
            <w:tcW w:w="695" w:type="pct"/>
            <w:tcBorders>
              <w:top w:val="nil"/>
              <w:left w:val="nil"/>
              <w:bottom w:val="nil"/>
              <w:right w:val="nil"/>
            </w:tcBorders>
            <w:noWrap/>
          </w:tcPr>
          <w:p w:rsidR="009639BE" w:rsidRPr="00771904" w:rsidRDefault="009639BE" w:rsidP="003436C1">
            <w:pPr>
              <w:jc w:val="center"/>
              <w:rPr>
                <w:rFonts w:cs="Arial"/>
                <w:szCs w:val="22"/>
              </w:rPr>
            </w:pPr>
            <w:r w:rsidRPr="00771904">
              <w:rPr>
                <w:rFonts w:cs="Arial"/>
                <w:szCs w:val="22"/>
              </w:rPr>
              <w:t>100%</w:t>
            </w:r>
          </w:p>
        </w:tc>
      </w:tr>
    </w:tbl>
    <w:p w:rsidR="00236ABD" w:rsidRPr="00771904" w:rsidRDefault="00236ABD" w:rsidP="00236ABD">
      <w:pPr>
        <w:rPr>
          <w:rFonts w:cs="Arial"/>
          <w:color w:val="000000"/>
          <w:sz w:val="12"/>
          <w:szCs w:val="12"/>
        </w:rPr>
      </w:pPr>
    </w:p>
    <w:p w:rsidR="00CD5F8A" w:rsidRPr="00771904" w:rsidRDefault="00CD5F8A" w:rsidP="00CD5F8A">
      <w:pPr>
        <w:rPr>
          <w:rFonts w:cs="Arial"/>
          <w:b/>
          <w:color w:val="000000"/>
          <w:szCs w:val="22"/>
        </w:rPr>
      </w:pPr>
      <w:r w:rsidRPr="00771904">
        <w:rPr>
          <w:rFonts w:cs="Arial"/>
          <w:b/>
          <w:color w:val="000000"/>
          <w:szCs w:val="22"/>
        </w:rPr>
        <w:t xml:space="preserve">Discussion of Improvement Activities Completed </w:t>
      </w:r>
      <w:r w:rsidRPr="00771904">
        <w:rPr>
          <w:rFonts w:cs="Arial"/>
          <w:b/>
          <w:color w:val="000000"/>
          <w:szCs w:val="22"/>
          <w:u w:val="single"/>
        </w:rPr>
        <w:t>and</w:t>
      </w:r>
      <w:r w:rsidRPr="00771904">
        <w:rPr>
          <w:rFonts w:cs="Arial"/>
          <w:b/>
          <w:color w:val="000000"/>
          <w:szCs w:val="22"/>
        </w:rPr>
        <w:t xml:space="preserve"> Explanation of Progress or Slippage that occurred for </w:t>
      </w:r>
      <w:r w:rsidR="005B1B42" w:rsidRPr="00771904">
        <w:rPr>
          <w:rFonts w:cs="Arial"/>
          <w:b/>
          <w:color w:val="000000"/>
          <w:szCs w:val="22"/>
        </w:rPr>
        <w:t>FFY1</w:t>
      </w:r>
      <w:r w:rsidR="00C02A8F" w:rsidRPr="00771904">
        <w:rPr>
          <w:rFonts w:cs="Arial"/>
          <w:b/>
          <w:color w:val="000000"/>
          <w:szCs w:val="22"/>
        </w:rPr>
        <w:t>2</w:t>
      </w:r>
      <w:r w:rsidRPr="00771904">
        <w:rPr>
          <w:rFonts w:cs="Arial"/>
          <w:b/>
          <w:color w:val="000000"/>
          <w:szCs w:val="22"/>
        </w:rPr>
        <w:t xml:space="preserve"> </w:t>
      </w:r>
      <w:r w:rsidR="00FC6703" w:rsidRPr="00771904">
        <w:rPr>
          <w:rFonts w:cs="Arial"/>
          <w:b/>
          <w:color w:val="000000"/>
          <w:szCs w:val="22"/>
        </w:rPr>
        <w:t>(</w:t>
      </w:r>
      <w:r w:rsidR="005B1B42" w:rsidRPr="00771904">
        <w:rPr>
          <w:rFonts w:cs="Arial"/>
          <w:b/>
          <w:color w:val="000000"/>
          <w:szCs w:val="22"/>
        </w:rPr>
        <w:t>July 1, 201</w:t>
      </w:r>
      <w:r w:rsidR="009C0999" w:rsidRPr="00771904">
        <w:rPr>
          <w:rFonts w:cs="Arial"/>
          <w:b/>
          <w:color w:val="000000"/>
          <w:szCs w:val="22"/>
        </w:rPr>
        <w:t>2-June 30, 2013</w:t>
      </w:r>
      <w:r w:rsidR="00FC6703" w:rsidRPr="00771904">
        <w:rPr>
          <w:rFonts w:cs="Arial"/>
          <w:b/>
          <w:color w:val="000000"/>
          <w:szCs w:val="22"/>
        </w:rPr>
        <w:t>):</w:t>
      </w:r>
    </w:p>
    <w:p w:rsidR="004B42D1" w:rsidRPr="00771904" w:rsidRDefault="00192829" w:rsidP="00A054B7">
      <w:pPr>
        <w:rPr>
          <w:rFonts w:cs="Arial"/>
          <w:color w:val="000000" w:themeColor="text1"/>
          <w:szCs w:val="22"/>
        </w:rPr>
      </w:pPr>
      <w:r w:rsidRPr="00771904">
        <w:rPr>
          <w:rFonts w:cs="Arial"/>
          <w:color w:val="000000" w:themeColor="text1"/>
          <w:szCs w:val="22"/>
        </w:rPr>
        <w:t>The State</w:t>
      </w:r>
      <w:r w:rsidR="004B42D1" w:rsidRPr="00771904">
        <w:rPr>
          <w:rFonts w:cs="Arial"/>
          <w:color w:val="000000" w:themeColor="text1"/>
          <w:szCs w:val="22"/>
        </w:rPr>
        <w:t xml:space="preserve"> met its target</w:t>
      </w:r>
      <w:r w:rsidR="007D69BD" w:rsidRPr="00771904">
        <w:rPr>
          <w:rFonts w:cs="Arial"/>
          <w:color w:val="000000" w:themeColor="text1"/>
          <w:szCs w:val="22"/>
        </w:rPr>
        <w:t>s</w:t>
      </w:r>
      <w:r w:rsidR="004B42D1" w:rsidRPr="00771904">
        <w:rPr>
          <w:rFonts w:cs="Arial"/>
          <w:color w:val="000000" w:themeColor="text1"/>
          <w:szCs w:val="22"/>
        </w:rPr>
        <w:t xml:space="preserve"> for </w:t>
      </w:r>
      <w:r w:rsidR="00C56B62" w:rsidRPr="00771904">
        <w:rPr>
          <w:rFonts w:cs="Arial"/>
          <w:color w:val="000000" w:themeColor="text1"/>
          <w:szCs w:val="22"/>
        </w:rPr>
        <w:t xml:space="preserve">two </w:t>
      </w:r>
      <w:r w:rsidR="004B42D1" w:rsidRPr="00771904">
        <w:rPr>
          <w:rFonts w:cs="Arial"/>
          <w:color w:val="000000" w:themeColor="text1"/>
          <w:szCs w:val="22"/>
        </w:rPr>
        <w:t>of the six summary</w:t>
      </w:r>
      <w:r w:rsidR="00C56B62" w:rsidRPr="00771904">
        <w:rPr>
          <w:rFonts w:cs="Arial"/>
          <w:color w:val="000000" w:themeColor="text1"/>
          <w:szCs w:val="22"/>
        </w:rPr>
        <w:t xml:space="preserve"> statements</w:t>
      </w:r>
      <w:r w:rsidR="00740C1F" w:rsidRPr="00771904">
        <w:rPr>
          <w:rFonts w:cs="Arial"/>
          <w:color w:val="000000" w:themeColor="text1"/>
          <w:szCs w:val="22"/>
        </w:rPr>
        <w:t>,</w:t>
      </w:r>
      <w:r w:rsidR="00C56B62" w:rsidRPr="00771904">
        <w:rPr>
          <w:rFonts w:cs="Arial"/>
          <w:color w:val="000000" w:themeColor="text1"/>
          <w:szCs w:val="22"/>
        </w:rPr>
        <w:t xml:space="preserve"> A2</w:t>
      </w:r>
      <w:r w:rsidR="004B42D1" w:rsidRPr="00771904">
        <w:rPr>
          <w:rFonts w:cs="Arial"/>
          <w:color w:val="000000" w:themeColor="text1"/>
          <w:szCs w:val="22"/>
        </w:rPr>
        <w:t xml:space="preserve"> and C2</w:t>
      </w:r>
      <w:r w:rsidR="00C15B26" w:rsidRPr="00771904">
        <w:rPr>
          <w:rFonts w:cs="Arial"/>
          <w:color w:val="000000" w:themeColor="text1"/>
          <w:szCs w:val="22"/>
        </w:rPr>
        <w:t xml:space="preserve"> on page 7</w:t>
      </w:r>
      <w:r w:rsidR="004B42D1" w:rsidRPr="00771904">
        <w:rPr>
          <w:rFonts w:cs="Arial"/>
          <w:color w:val="000000" w:themeColor="text1"/>
          <w:szCs w:val="22"/>
        </w:rPr>
        <w:t>.  The summary statements A1, B1</w:t>
      </w:r>
      <w:r w:rsidR="00363251" w:rsidRPr="00771904">
        <w:rPr>
          <w:rFonts w:cs="Arial"/>
          <w:color w:val="000000" w:themeColor="text1"/>
          <w:szCs w:val="22"/>
        </w:rPr>
        <w:t>,</w:t>
      </w:r>
      <w:r w:rsidR="004B42D1" w:rsidRPr="00771904">
        <w:rPr>
          <w:rFonts w:cs="Arial"/>
          <w:color w:val="000000" w:themeColor="text1"/>
          <w:szCs w:val="22"/>
        </w:rPr>
        <w:t xml:space="preserve"> B2</w:t>
      </w:r>
      <w:r w:rsidR="00C56B62" w:rsidRPr="00771904">
        <w:rPr>
          <w:rFonts w:cs="Arial"/>
          <w:color w:val="000000" w:themeColor="text1"/>
          <w:szCs w:val="22"/>
        </w:rPr>
        <w:t>, and C1</w:t>
      </w:r>
      <w:r w:rsidR="004B42D1" w:rsidRPr="00771904">
        <w:rPr>
          <w:rFonts w:cs="Arial"/>
          <w:color w:val="000000" w:themeColor="text1"/>
          <w:szCs w:val="22"/>
        </w:rPr>
        <w:t xml:space="preserve"> did not meet </w:t>
      </w:r>
      <w:r w:rsidRPr="00771904">
        <w:rPr>
          <w:rFonts w:cs="Arial"/>
          <w:color w:val="000000" w:themeColor="text1"/>
          <w:szCs w:val="22"/>
        </w:rPr>
        <w:t>the state</w:t>
      </w:r>
      <w:r w:rsidR="004B42D1" w:rsidRPr="00771904">
        <w:rPr>
          <w:rFonts w:cs="Arial"/>
          <w:color w:val="000000" w:themeColor="text1"/>
          <w:szCs w:val="22"/>
        </w:rPr>
        <w:t xml:space="preserve"> target</w:t>
      </w:r>
      <w:r w:rsidR="00363251" w:rsidRPr="00771904">
        <w:rPr>
          <w:rFonts w:cs="Arial"/>
          <w:color w:val="000000" w:themeColor="text1"/>
          <w:szCs w:val="22"/>
        </w:rPr>
        <w:t>s</w:t>
      </w:r>
      <w:r w:rsidR="004B42D1" w:rsidRPr="00771904">
        <w:rPr>
          <w:rFonts w:cs="Arial"/>
          <w:color w:val="000000" w:themeColor="text1"/>
          <w:szCs w:val="22"/>
        </w:rPr>
        <w:t>.</w:t>
      </w:r>
      <w:r w:rsidR="008464DF" w:rsidRPr="00771904">
        <w:rPr>
          <w:rFonts w:cs="Arial"/>
          <w:color w:val="000000" w:themeColor="text1"/>
          <w:szCs w:val="22"/>
        </w:rPr>
        <w:t xml:space="preserve">  </w:t>
      </w:r>
      <w:r w:rsidR="00104485" w:rsidRPr="00771904">
        <w:rPr>
          <w:rFonts w:cs="Arial"/>
          <w:color w:val="000000" w:themeColor="text1"/>
          <w:szCs w:val="22"/>
        </w:rPr>
        <w:t>One summary statement</w:t>
      </w:r>
      <w:r w:rsidR="008464DF" w:rsidRPr="00771904">
        <w:rPr>
          <w:rFonts w:cs="Arial"/>
          <w:color w:val="000000" w:themeColor="text1"/>
          <w:szCs w:val="22"/>
        </w:rPr>
        <w:t xml:space="preserve"> </w:t>
      </w:r>
      <w:r w:rsidR="00721058" w:rsidRPr="00771904">
        <w:rPr>
          <w:rFonts w:cs="Arial"/>
          <w:color w:val="000000" w:themeColor="text1"/>
          <w:szCs w:val="22"/>
        </w:rPr>
        <w:t xml:space="preserve">showed progress </w:t>
      </w:r>
      <w:r w:rsidR="00104485" w:rsidRPr="00771904">
        <w:rPr>
          <w:rFonts w:cs="Arial"/>
          <w:color w:val="000000" w:themeColor="text1"/>
          <w:szCs w:val="22"/>
        </w:rPr>
        <w:t xml:space="preserve">since the </w:t>
      </w:r>
      <w:r w:rsidR="00C15B26" w:rsidRPr="00771904">
        <w:rPr>
          <w:rFonts w:cs="Arial"/>
          <w:color w:val="000000" w:themeColor="text1"/>
          <w:szCs w:val="22"/>
        </w:rPr>
        <w:t>’</w:t>
      </w:r>
      <w:r w:rsidR="00104485" w:rsidRPr="00771904">
        <w:rPr>
          <w:rFonts w:cs="Arial"/>
          <w:color w:val="000000" w:themeColor="text1"/>
          <w:szCs w:val="22"/>
        </w:rPr>
        <w:t>11-</w:t>
      </w:r>
      <w:r w:rsidR="00C15B26" w:rsidRPr="00771904">
        <w:rPr>
          <w:rFonts w:cs="Arial"/>
          <w:color w:val="000000" w:themeColor="text1"/>
          <w:szCs w:val="22"/>
        </w:rPr>
        <w:t>’</w:t>
      </w:r>
      <w:r w:rsidR="00104485" w:rsidRPr="00771904">
        <w:rPr>
          <w:rFonts w:cs="Arial"/>
          <w:color w:val="000000" w:themeColor="text1"/>
          <w:szCs w:val="22"/>
        </w:rPr>
        <w:t>12</w:t>
      </w:r>
      <w:r w:rsidR="00892026" w:rsidRPr="00771904">
        <w:rPr>
          <w:rFonts w:cs="Arial"/>
          <w:color w:val="000000" w:themeColor="text1"/>
          <w:szCs w:val="22"/>
        </w:rPr>
        <w:t xml:space="preserve"> year </w:t>
      </w:r>
      <w:r w:rsidR="00EF34BB" w:rsidRPr="00771904">
        <w:rPr>
          <w:rFonts w:cs="Arial"/>
          <w:color w:val="000000" w:themeColor="text1"/>
          <w:szCs w:val="22"/>
        </w:rPr>
        <w:t xml:space="preserve">but did not meet </w:t>
      </w:r>
      <w:r w:rsidRPr="00771904">
        <w:rPr>
          <w:rFonts w:cs="Arial"/>
          <w:color w:val="000000" w:themeColor="text1"/>
          <w:szCs w:val="22"/>
        </w:rPr>
        <w:t>the state</w:t>
      </w:r>
      <w:r w:rsidR="00EF34BB" w:rsidRPr="00771904">
        <w:rPr>
          <w:rFonts w:cs="Arial"/>
          <w:color w:val="000000" w:themeColor="text1"/>
          <w:szCs w:val="22"/>
        </w:rPr>
        <w:t xml:space="preserve"> target </w:t>
      </w:r>
      <w:r w:rsidR="00892026" w:rsidRPr="00771904">
        <w:rPr>
          <w:rFonts w:cs="Arial"/>
          <w:color w:val="000000" w:themeColor="text1"/>
          <w:szCs w:val="22"/>
        </w:rPr>
        <w:t>(</w:t>
      </w:r>
      <w:r w:rsidR="00104485" w:rsidRPr="00771904">
        <w:rPr>
          <w:rFonts w:cs="Arial"/>
          <w:color w:val="000000" w:themeColor="text1"/>
          <w:szCs w:val="22"/>
        </w:rPr>
        <w:t>B2</w:t>
      </w:r>
      <w:r w:rsidR="00892026" w:rsidRPr="00771904">
        <w:rPr>
          <w:rFonts w:cs="Arial"/>
          <w:color w:val="000000" w:themeColor="text1"/>
          <w:szCs w:val="22"/>
        </w:rPr>
        <w:t xml:space="preserve">) </w:t>
      </w:r>
      <w:r w:rsidR="00721058" w:rsidRPr="00771904">
        <w:rPr>
          <w:rFonts w:cs="Arial"/>
          <w:color w:val="000000" w:themeColor="text1"/>
          <w:szCs w:val="22"/>
        </w:rPr>
        <w:t xml:space="preserve">and </w:t>
      </w:r>
      <w:r w:rsidR="00892026" w:rsidRPr="00771904">
        <w:rPr>
          <w:rFonts w:cs="Arial"/>
          <w:color w:val="000000" w:themeColor="text1"/>
          <w:szCs w:val="22"/>
        </w:rPr>
        <w:t xml:space="preserve">the other </w:t>
      </w:r>
      <w:r w:rsidR="008464DF" w:rsidRPr="00771904">
        <w:rPr>
          <w:rFonts w:cs="Arial"/>
          <w:color w:val="000000" w:themeColor="text1"/>
          <w:szCs w:val="22"/>
        </w:rPr>
        <w:t>three</w:t>
      </w:r>
      <w:r w:rsidR="00104485" w:rsidRPr="00771904">
        <w:rPr>
          <w:rFonts w:cs="Arial"/>
          <w:color w:val="000000" w:themeColor="text1"/>
          <w:szCs w:val="22"/>
        </w:rPr>
        <w:t xml:space="preserve"> </w:t>
      </w:r>
      <w:r w:rsidR="00C3251B" w:rsidRPr="00771904">
        <w:rPr>
          <w:rFonts w:cs="Arial"/>
          <w:color w:val="000000" w:themeColor="text1"/>
          <w:szCs w:val="22"/>
        </w:rPr>
        <w:t>appeared</w:t>
      </w:r>
      <w:r w:rsidR="00104485" w:rsidRPr="00771904">
        <w:rPr>
          <w:rFonts w:cs="Arial"/>
          <w:color w:val="000000" w:themeColor="text1"/>
          <w:szCs w:val="22"/>
        </w:rPr>
        <w:t xml:space="preserve"> to demonstrate </w:t>
      </w:r>
      <w:r w:rsidR="00721058" w:rsidRPr="00771904">
        <w:rPr>
          <w:rFonts w:cs="Arial"/>
          <w:color w:val="000000" w:themeColor="text1"/>
          <w:szCs w:val="22"/>
        </w:rPr>
        <w:t xml:space="preserve">slippage </w:t>
      </w:r>
      <w:r w:rsidR="00104485" w:rsidRPr="00771904">
        <w:rPr>
          <w:rFonts w:cs="Arial"/>
          <w:color w:val="000000" w:themeColor="text1"/>
          <w:szCs w:val="22"/>
        </w:rPr>
        <w:t>(A1, B1</w:t>
      </w:r>
      <w:r w:rsidR="00363251" w:rsidRPr="00771904">
        <w:rPr>
          <w:rFonts w:cs="Arial"/>
          <w:color w:val="000000" w:themeColor="text1"/>
          <w:szCs w:val="22"/>
        </w:rPr>
        <w:t>,</w:t>
      </w:r>
      <w:r w:rsidR="00892026" w:rsidRPr="00771904">
        <w:rPr>
          <w:rFonts w:cs="Arial"/>
          <w:color w:val="000000" w:themeColor="text1"/>
          <w:szCs w:val="22"/>
        </w:rPr>
        <w:t xml:space="preserve"> and C1)</w:t>
      </w:r>
      <w:r w:rsidR="008464DF" w:rsidRPr="00771904">
        <w:rPr>
          <w:rFonts w:cs="Arial"/>
          <w:color w:val="000000" w:themeColor="text1"/>
          <w:szCs w:val="22"/>
        </w:rPr>
        <w:t xml:space="preserve">.  </w:t>
      </w:r>
      <w:r w:rsidRPr="00771904">
        <w:rPr>
          <w:rFonts w:cs="Arial"/>
          <w:color w:val="000000" w:themeColor="text1"/>
          <w:szCs w:val="22"/>
        </w:rPr>
        <w:t>The State</w:t>
      </w:r>
      <w:r w:rsidR="00892026" w:rsidRPr="00771904">
        <w:rPr>
          <w:rFonts w:cs="Arial"/>
          <w:color w:val="000000" w:themeColor="text1"/>
          <w:szCs w:val="22"/>
        </w:rPr>
        <w:t xml:space="preserve"> </w:t>
      </w:r>
      <w:r w:rsidR="00363251" w:rsidRPr="00771904">
        <w:rPr>
          <w:rFonts w:cs="Arial"/>
          <w:color w:val="000000" w:themeColor="text1"/>
          <w:szCs w:val="22"/>
        </w:rPr>
        <w:t xml:space="preserve">regularly runs pattern checks on the data by program but </w:t>
      </w:r>
      <w:r w:rsidR="00B5655E" w:rsidRPr="00771904">
        <w:rPr>
          <w:rFonts w:cs="Arial"/>
          <w:color w:val="000000" w:themeColor="text1"/>
          <w:szCs w:val="22"/>
        </w:rPr>
        <w:t xml:space="preserve">as of yet </w:t>
      </w:r>
      <w:r w:rsidR="00363251" w:rsidRPr="00771904">
        <w:rPr>
          <w:rFonts w:cs="Arial"/>
          <w:color w:val="000000" w:themeColor="text1"/>
          <w:szCs w:val="22"/>
        </w:rPr>
        <w:t>no consistent trends or reasons have become apparent</w:t>
      </w:r>
      <w:r w:rsidR="00104485" w:rsidRPr="00771904">
        <w:rPr>
          <w:rFonts w:cs="Arial"/>
          <w:color w:val="000000" w:themeColor="text1"/>
          <w:szCs w:val="22"/>
        </w:rPr>
        <w:t xml:space="preserve">.  </w:t>
      </w:r>
      <w:r w:rsidR="00236ABD" w:rsidRPr="00771904">
        <w:rPr>
          <w:rFonts w:cs="Arial"/>
          <w:color w:val="000000" w:themeColor="text1"/>
          <w:szCs w:val="22"/>
        </w:rPr>
        <w:t xml:space="preserve">  </w:t>
      </w:r>
      <w:r w:rsidR="00104485" w:rsidRPr="00771904">
        <w:rPr>
          <w:rFonts w:cs="Arial"/>
          <w:color w:val="000000" w:themeColor="text1"/>
          <w:szCs w:val="22"/>
        </w:rPr>
        <w:t xml:space="preserve">A new training module was posted on Birth23.org to help increase consistency in the </w:t>
      </w:r>
      <w:r w:rsidR="00B5655E" w:rsidRPr="00771904">
        <w:rPr>
          <w:rFonts w:cs="Arial"/>
          <w:color w:val="000000" w:themeColor="text1"/>
          <w:szCs w:val="22"/>
        </w:rPr>
        <w:t xml:space="preserve">COS </w:t>
      </w:r>
      <w:r w:rsidR="00104485" w:rsidRPr="00771904">
        <w:rPr>
          <w:rFonts w:cs="Arial"/>
          <w:color w:val="000000" w:themeColor="text1"/>
          <w:szCs w:val="22"/>
        </w:rPr>
        <w:t>process.</w:t>
      </w:r>
    </w:p>
    <w:p w:rsidR="00892026" w:rsidRPr="00771904" w:rsidRDefault="00892026" w:rsidP="00A054B7">
      <w:pPr>
        <w:rPr>
          <w:rFonts w:cs="Arial"/>
          <w:color w:val="000000"/>
          <w:sz w:val="12"/>
          <w:szCs w:val="12"/>
        </w:rPr>
      </w:pPr>
    </w:p>
    <w:p w:rsidR="008464DF" w:rsidRPr="00771904" w:rsidRDefault="00CD5F8A" w:rsidP="00FE30AF">
      <w:pPr>
        <w:pStyle w:val="StyleLeft025"/>
        <w:ind w:left="0"/>
        <w:rPr>
          <w:rFonts w:cs="Arial"/>
          <w:szCs w:val="22"/>
        </w:rPr>
      </w:pPr>
      <w:r w:rsidRPr="00771904">
        <w:rPr>
          <w:rFonts w:cs="Arial"/>
          <w:b/>
          <w:color w:val="000000"/>
          <w:szCs w:val="22"/>
        </w:rPr>
        <w:t xml:space="preserve">Revisions, </w:t>
      </w:r>
      <w:r w:rsidRPr="00771904">
        <w:rPr>
          <w:rFonts w:cs="Arial"/>
          <w:b/>
          <w:color w:val="000000"/>
          <w:szCs w:val="22"/>
          <w:u w:val="single"/>
        </w:rPr>
        <w:t>with Justification</w:t>
      </w:r>
      <w:r w:rsidRPr="00771904">
        <w:rPr>
          <w:rFonts w:cs="Arial"/>
          <w:b/>
          <w:color w:val="000000"/>
          <w:szCs w:val="22"/>
        </w:rPr>
        <w:t xml:space="preserve">, to Proposed Targets / Improvement Activities / Timelines / Resources for </w:t>
      </w:r>
      <w:r w:rsidR="005B1B42" w:rsidRPr="00771904">
        <w:rPr>
          <w:rFonts w:cs="Arial"/>
          <w:b/>
          <w:color w:val="000000"/>
          <w:szCs w:val="22"/>
        </w:rPr>
        <w:t xml:space="preserve">FFY12 </w:t>
      </w:r>
      <w:r w:rsidRPr="00771904">
        <w:rPr>
          <w:rFonts w:cs="Arial"/>
          <w:i/>
          <w:color w:val="000000"/>
          <w:szCs w:val="22"/>
        </w:rPr>
        <w:t>[If applicable]</w:t>
      </w:r>
      <w:r w:rsidR="008975D3" w:rsidRPr="00771904">
        <w:rPr>
          <w:rFonts w:cs="Arial"/>
          <w:color w:val="000000"/>
        </w:rPr>
        <w:t xml:space="preserve"> </w:t>
      </w:r>
    </w:p>
    <w:p w:rsidR="00362875" w:rsidRPr="00771904" w:rsidRDefault="00BE35C2" w:rsidP="00892026">
      <w:pPr>
        <w:rPr>
          <w:rFonts w:cs="Arial"/>
          <w:b/>
          <w:szCs w:val="22"/>
        </w:rPr>
      </w:pPr>
      <w:r w:rsidRPr="00771904">
        <w:rPr>
          <w:rFonts w:cs="Arial"/>
          <w:szCs w:val="22"/>
        </w:rPr>
        <w:t>No revisions at this time</w:t>
      </w:r>
      <w:r w:rsidR="00892026" w:rsidRPr="00771904">
        <w:rPr>
          <w:rFonts w:cs="Arial"/>
          <w:szCs w:val="22"/>
        </w:rPr>
        <w:t xml:space="preserve"> </w:t>
      </w:r>
      <w:r w:rsidR="00192829" w:rsidRPr="00771904">
        <w:rPr>
          <w:rFonts w:cs="Arial"/>
          <w:szCs w:val="22"/>
        </w:rPr>
        <w:t>The State</w:t>
      </w:r>
      <w:r w:rsidR="00104485" w:rsidRPr="00771904">
        <w:rPr>
          <w:rFonts w:cs="Arial"/>
          <w:szCs w:val="22"/>
        </w:rPr>
        <w:t xml:space="preserve"> will revise its targets with the new SPP/</w:t>
      </w:r>
      <w:r w:rsidR="00482C9D" w:rsidRPr="00771904">
        <w:rPr>
          <w:rFonts w:cs="Arial"/>
          <w:szCs w:val="22"/>
        </w:rPr>
        <w:t>SSIP</w:t>
      </w:r>
      <w:r w:rsidR="00FB6B4B" w:rsidRPr="00771904">
        <w:rPr>
          <w:rFonts w:cs="Arial"/>
          <w:szCs w:val="22"/>
        </w:rPr>
        <w:t xml:space="preserve"> due Feb. 2015</w:t>
      </w:r>
      <w:r w:rsidR="00482C9D" w:rsidRPr="00771904">
        <w:rPr>
          <w:rFonts w:cs="Arial"/>
          <w:szCs w:val="22"/>
        </w:rPr>
        <w:t>.</w:t>
      </w:r>
      <w:r w:rsidR="00844F6D" w:rsidRPr="00771904">
        <w:rPr>
          <w:rFonts w:cs="Arial"/>
          <w:b/>
          <w:color w:val="000000"/>
          <w:sz w:val="28"/>
          <w:szCs w:val="28"/>
        </w:rPr>
        <w:br w:type="page"/>
      </w:r>
      <w:r w:rsidR="00362875" w:rsidRPr="00771904">
        <w:rPr>
          <w:rFonts w:cs="Arial"/>
          <w:b/>
          <w:szCs w:val="22"/>
        </w:rPr>
        <w:lastRenderedPageBreak/>
        <w:t xml:space="preserve">Part C State Annual Performance Report (APR) for Federal Fiscal Year </w:t>
      </w:r>
      <w:r w:rsidR="00C02A8F" w:rsidRPr="00771904">
        <w:rPr>
          <w:rFonts w:cs="Arial"/>
          <w:b/>
          <w:szCs w:val="22"/>
        </w:rPr>
        <w:t>(FFY) 2012</w:t>
      </w:r>
    </w:p>
    <w:p w:rsidR="009A7E7F" w:rsidRPr="00771904" w:rsidRDefault="009A7E7F" w:rsidP="00FE30AF">
      <w:pPr>
        <w:pStyle w:val="StyleLeft025"/>
        <w:ind w:left="0"/>
        <w:rPr>
          <w:rFonts w:cs="Arial"/>
          <w:color w:val="000000"/>
        </w:rPr>
      </w:pPr>
    </w:p>
    <w:p w:rsidR="00362875" w:rsidRPr="00771904" w:rsidRDefault="00362875" w:rsidP="00362875">
      <w:pPr>
        <w:spacing w:after="120"/>
        <w:rPr>
          <w:rFonts w:cs="Arial"/>
          <w:b/>
          <w:iCs/>
          <w:szCs w:val="22"/>
        </w:rPr>
      </w:pPr>
      <w:r w:rsidRPr="00771904">
        <w:rPr>
          <w:rFonts w:cs="Arial"/>
          <w:b/>
          <w:iCs/>
          <w:szCs w:val="22"/>
        </w:rPr>
        <w:t>Overview of the Annual Performance Report Development:</w:t>
      </w:r>
    </w:p>
    <w:p w:rsidR="00362875" w:rsidRPr="00771904" w:rsidRDefault="00362875" w:rsidP="00362875">
      <w:pPr>
        <w:spacing w:after="120"/>
        <w:rPr>
          <w:rFonts w:cs="Arial"/>
          <w:szCs w:val="22"/>
        </w:rPr>
      </w:pPr>
      <w:r w:rsidRPr="00771904">
        <w:rPr>
          <w:rFonts w:cs="Arial"/>
          <w:szCs w:val="22"/>
        </w:rPr>
        <w:t>Same process as described in Indicator #1.</w:t>
      </w:r>
    </w:p>
    <w:p w:rsidR="00362875" w:rsidRPr="00771904" w:rsidRDefault="00362875" w:rsidP="00362875">
      <w:pPr>
        <w:jc w:val="center"/>
        <w:rPr>
          <w:rFonts w:cs="Arial"/>
          <w:b/>
          <w:szCs w:val="22"/>
        </w:rPr>
      </w:pPr>
      <w:r w:rsidRPr="00771904">
        <w:rPr>
          <w:rFonts w:cs="Arial"/>
          <w:b/>
          <w:szCs w:val="22"/>
        </w:rPr>
        <w:t>E</w:t>
      </w:r>
      <w:r w:rsidR="00C15B26" w:rsidRPr="00771904">
        <w:rPr>
          <w:rFonts w:cs="Arial"/>
          <w:b/>
          <w:szCs w:val="22"/>
        </w:rPr>
        <w:t xml:space="preserve">arly </w:t>
      </w:r>
      <w:r w:rsidRPr="00771904">
        <w:rPr>
          <w:rFonts w:cs="Arial"/>
          <w:b/>
          <w:szCs w:val="22"/>
        </w:rPr>
        <w:t>C</w:t>
      </w:r>
      <w:r w:rsidR="00C15B26" w:rsidRPr="00771904">
        <w:rPr>
          <w:rFonts w:cs="Arial"/>
          <w:b/>
          <w:szCs w:val="22"/>
        </w:rPr>
        <w:t xml:space="preserve">hildhood </w:t>
      </w:r>
      <w:r w:rsidRPr="00771904">
        <w:rPr>
          <w:rFonts w:cs="Arial"/>
          <w:b/>
          <w:szCs w:val="22"/>
        </w:rPr>
        <w:t>O</w:t>
      </w:r>
      <w:r w:rsidR="00C15B26" w:rsidRPr="00771904">
        <w:rPr>
          <w:rFonts w:cs="Arial"/>
          <w:b/>
          <w:szCs w:val="22"/>
        </w:rPr>
        <w:t>utcomes Center</w:t>
      </w:r>
      <w:r w:rsidRPr="00771904">
        <w:rPr>
          <w:rFonts w:cs="Arial"/>
          <w:b/>
          <w:szCs w:val="22"/>
        </w:rPr>
        <w:t xml:space="preserve"> Suggested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F6D" w:rsidRPr="00771904" w:rsidTr="003070E1">
        <w:tc>
          <w:tcPr>
            <w:tcW w:w="9576" w:type="dxa"/>
          </w:tcPr>
          <w:p w:rsidR="00844F6D" w:rsidRPr="00771904" w:rsidRDefault="00844F6D" w:rsidP="003070E1">
            <w:pPr>
              <w:spacing w:before="240" w:after="240"/>
              <w:ind w:left="1980" w:hanging="1980"/>
              <w:rPr>
                <w:rFonts w:cs="Arial"/>
                <w:b/>
              </w:rPr>
            </w:pPr>
            <w:r w:rsidRPr="00771904">
              <w:rPr>
                <w:rFonts w:cs="Arial"/>
                <w:b/>
              </w:rPr>
              <w:t>Monitoring Priority: Early Intervention Services In Natural Environments</w:t>
            </w:r>
          </w:p>
        </w:tc>
      </w:tr>
      <w:tr w:rsidR="005508F3" w:rsidRPr="00771904" w:rsidTr="003070E1">
        <w:tc>
          <w:tcPr>
            <w:tcW w:w="9576" w:type="dxa"/>
          </w:tcPr>
          <w:p w:rsidR="005508F3" w:rsidRPr="00771904" w:rsidRDefault="005508F3" w:rsidP="005508F3">
            <w:pPr>
              <w:autoSpaceDE w:val="0"/>
              <w:autoSpaceDN w:val="0"/>
              <w:adjustRightInd w:val="0"/>
              <w:spacing w:before="120" w:after="120"/>
              <w:rPr>
                <w:rFonts w:cs="Arial"/>
              </w:rPr>
            </w:pPr>
            <w:r w:rsidRPr="00771904">
              <w:rPr>
                <w:rFonts w:cs="Arial"/>
                <w:b/>
              </w:rPr>
              <w:t xml:space="preserve">Indicator 4:  </w:t>
            </w:r>
            <w:r w:rsidRPr="00771904">
              <w:rPr>
                <w:rFonts w:cs="Arial"/>
              </w:rPr>
              <w:t>Percent of families participating in Part C who report that early intervention services have helped the family:</w:t>
            </w:r>
          </w:p>
          <w:p w:rsidR="005508F3" w:rsidRPr="00771904" w:rsidRDefault="005508F3" w:rsidP="005508F3">
            <w:pPr>
              <w:autoSpaceDE w:val="0"/>
              <w:autoSpaceDN w:val="0"/>
              <w:adjustRightInd w:val="0"/>
              <w:ind w:left="692" w:hanging="300"/>
              <w:rPr>
                <w:rFonts w:cs="Arial"/>
              </w:rPr>
            </w:pPr>
            <w:r w:rsidRPr="00771904">
              <w:rPr>
                <w:rFonts w:cs="Arial"/>
              </w:rPr>
              <w:t>A.</w:t>
            </w:r>
            <w:r w:rsidRPr="00771904">
              <w:rPr>
                <w:rFonts w:cs="Arial"/>
              </w:rPr>
              <w:tab/>
              <w:t>Know their rights;</w:t>
            </w:r>
          </w:p>
          <w:p w:rsidR="005508F3" w:rsidRPr="00771904" w:rsidRDefault="005508F3" w:rsidP="005508F3">
            <w:pPr>
              <w:autoSpaceDE w:val="0"/>
              <w:autoSpaceDN w:val="0"/>
              <w:adjustRightInd w:val="0"/>
              <w:ind w:left="692" w:hanging="300"/>
              <w:rPr>
                <w:rFonts w:cs="Arial"/>
              </w:rPr>
            </w:pPr>
            <w:r w:rsidRPr="00771904">
              <w:rPr>
                <w:rFonts w:cs="Arial"/>
              </w:rPr>
              <w:t>B.</w:t>
            </w:r>
            <w:r w:rsidRPr="00771904">
              <w:rPr>
                <w:rFonts w:cs="Arial"/>
              </w:rPr>
              <w:tab/>
              <w:t>Effectively communicate their children</w:t>
            </w:r>
            <w:r w:rsidR="00C15B26" w:rsidRPr="00771904">
              <w:rPr>
                <w:rFonts w:cs="Arial"/>
              </w:rPr>
              <w:t>’</w:t>
            </w:r>
            <w:r w:rsidRPr="00771904">
              <w:rPr>
                <w:rFonts w:cs="Arial"/>
              </w:rPr>
              <w:t>s needs; and</w:t>
            </w:r>
          </w:p>
          <w:p w:rsidR="005508F3" w:rsidRPr="00771904" w:rsidRDefault="005508F3" w:rsidP="005508F3">
            <w:pPr>
              <w:autoSpaceDE w:val="0"/>
              <w:autoSpaceDN w:val="0"/>
              <w:adjustRightInd w:val="0"/>
              <w:ind w:left="692" w:hanging="300"/>
              <w:rPr>
                <w:rFonts w:cs="Arial"/>
              </w:rPr>
            </w:pPr>
            <w:r w:rsidRPr="00771904">
              <w:rPr>
                <w:rFonts w:cs="Arial"/>
              </w:rPr>
              <w:t>C.</w:t>
            </w:r>
            <w:r w:rsidRPr="00771904">
              <w:rPr>
                <w:rFonts w:cs="Arial"/>
              </w:rPr>
              <w:tab/>
              <w:t xml:space="preserve">Help their children develop and learn. </w:t>
            </w:r>
          </w:p>
          <w:p w:rsidR="005508F3" w:rsidRPr="00771904" w:rsidRDefault="005508F3" w:rsidP="005508F3">
            <w:pPr>
              <w:autoSpaceDE w:val="0"/>
              <w:autoSpaceDN w:val="0"/>
              <w:adjustRightInd w:val="0"/>
              <w:ind w:left="300" w:hanging="300"/>
              <w:rPr>
                <w:rFonts w:cs="Arial"/>
              </w:rPr>
            </w:pPr>
            <w:r w:rsidRPr="00771904">
              <w:rPr>
                <w:rFonts w:cs="Arial"/>
              </w:rPr>
              <w:t>(20 USC 1416(a)(3)(A) and 1442)</w:t>
            </w:r>
          </w:p>
        </w:tc>
      </w:tr>
    </w:tbl>
    <w:p w:rsidR="00844F6D" w:rsidRPr="00771904" w:rsidRDefault="00844F6D" w:rsidP="00844F6D">
      <w:pPr>
        <w:autoSpaceDE w:val="0"/>
        <w:autoSpaceDN w:val="0"/>
        <w:adjustRightInd w:val="0"/>
        <w:ind w:left="692" w:hanging="300"/>
        <w:rPr>
          <w:rFonts w:cs="Arial"/>
        </w:rPr>
      </w:pPr>
      <w:bookmarkStart w:id="6" w:name="ind4"/>
      <w:bookmarkEnd w:id="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844F6D" w:rsidRPr="00771904" w:rsidTr="005508F3">
        <w:tc>
          <w:tcPr>
            <w:tcW w:w="9558" w:type="dxa"/>
          </w:tcPr>
          <w:p w:rsidR="00844F6D" w:rsidRPr="00771904" w:rsidRDefault="00844F6D" w:rsidP="003070E1">
            <w:pPr>
              <w:spacing w:before="60" w:after="60"/>
              <w:rPr>
                <w:rFonts w:cs="Arial"/>
                <w:b/>
              </w:rPr>
            </w:pPr>
            <w:r w:rsidRPr="00771904">
              <w:rPr>
                <w:rFonts w:cs="Arial"/>
                <w:b/>
              </w:rPr>
              <w:t>Measurement:</w:t>
            </w:r>
          </w:p>
          <w:p w:rsidR="00844F6D" w:rsidRPr="00771904" w:rsidRDefault="00844F6D" w:rsidP="003070E1">
            <w:pPr>
              <w:autoSpaceDE w:val="0"/>
              <w:autoSpaceDN w:val="0"/>
              <w:adjustRightInd w:val="0"/>
              <w:spacing w:after="120"/>
              <w:ind w:left="302" w:hanging="302"/>
              <w:rPr>
                <w:rFonts w:cs="Arial"/>
                <w:sz w:val="20"/>
                <w:szCs w:val="20"/>
              </w:rPr>
            </w:pPr>
            <w:r w:rsidRPr="00771904">
              <w:rPr>
                <w:rFonts w:cs="Arial"/>
                <w:sz w:val="20"/>
                <w:szCs w:val="20"/>
              </w:rPr>
              <w:t>A.</w:t>
            </w:r>
            <w:r w:rsidRPr="00771904">
              <w:rPr>
                <w:rFonts w:cs="Arial"/>
                <w:sz w:val="20"/>
                <w:szCs w:val="20"/>
              </w:rPr>
              <w:tab/>
              <w:t>Percent = [(# of respondent families participating in Part C who report that early intervention services have helped the family know their rights) divided by the (# of respondent families participating in Part C)] times 100.</w:t>
            </w:r>
          </w:p>
          <w:p w:rsidR="00844F6D" w:rsidRPr="00771904" w:rsidRDefault="00844F6D" w:rsidP="003070E1">
            <w:pPr>
              <w:autoSpaceDE w:val="0"/>
              <w:autoSpaceDN w:val="0"/>
              <w:adjustRightInd w:val="0"/>
              <w:spacing w:after="120"/>
              <w:ind w:left="302" w:hanging="302"/>
              <w:rPr>
                <w:rFonts w:cs="Arial"/>
                <w:sz w:val="20"/>
                <w:szCs w:val="20"/>
              </w:rPr>
            </w:pPr>
            <w:r w:rsidRPr="00771904">
              <w:rPr>
                <w:rFonts w:cs="Arial"/>
                <w:sz w:val="20"/>
                <w:szCs w:val="20"/>
              </w:rPr>
              <w:t>B.</w:t>
            </w:r>
            <w:r w:rsidRPr="00771904">
              <w:rPr>
                <w:rFonts w:cs="Arial"/>
                <w:sz w:val="20"/>
                <w:szCs w:val="20"/>
              </w:rPr>
              <w:tab/>
              <w:t>Percent = [(# of respondent families participating in Part C who report that early intervention services have helped the family effectively communicate their children</w:t>
            </w:r>
            <w:r w:rsidR="00C15B26" w:rsidRPr="00771904">
              <w:rPr>
                <w:rFonts w:cs="Arial"/>
                <w:sz w:val="20"/>
                <w:szCs w:val="20"/>
              </w:rPr>
              <w:t>’</w:t>
            </w:r>
            <w:r w:rsidRPr="00771904">
              <w:rPr>
                <w:rFonts w:cs="Arial"/>
                <w:sz w:val="20"/>
                <w:szCs w:val="20"/>
              </w:rPr>
              <w:t>s needs) divided by the (# of respondent families participating in Part C)] times 100.</w:t>
            </w:r>
          </w:p>
          <w:p w:rsidR="00844F6D" w:rsidRPr="00771904" w:rsidRDefault="00844F6D" w:rsidP="003070E1">
            <w:pPr>
              <w:autoSpaceDE w:val="0"/>
              <w:autoSpaceDN w:val="0"/>
              <w:adjustRightInd w:val="0"/>
              <w:spacing w:after="120"/>
              <w:ind w:left="302" w:hanging="302"/>
              <w:rPr>
                <w:rFonts w:cs="Arial"/>
              </w:rPr>
            </w:pPr>
            <w:r w:rsidRPr="00771904">
              <w:rPr>
                <w:rFonts w:cs="Arial"/>
                <w:sz w:val="20"/>
                <w:szCs w:val="20"/>
              </w:rPr>
              <w:t>C.  Percent =  [(# of respondent families participating in Part C who report that early intervention services have helped the family help their children develop and learn) divided by the (# of respondent families participating in Part C)] times 100.</w:t>
            </w:r>
          </w:p>
        </w:tc>
      </w:tr>
    </w:tbl>
    <w:p w:rsidR="00844F6D" w:rsidRPr="00771904" w:rsidRDefault="00844F6D" w:rsidP="00844F6D">
      <w:pP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994"/>
      </w:tblGrid>
      <w:tr w:rsidR="00844F6D" w:rsidRPr="00771904" w:rsidTr="005508F3">
        <w:trPr>
          <w:trHeight w:val="377"/>
        </w:trPr>
        <w:tc>
          <w:tcPr>
            <w:tcW w:w="1564" w:type="dxa"/>
          </w:tcPr>
          <w:p w:rsidR="00844F6D" w:rsidRPr="00771904" w:rsidRDefault="005B1B42" w:rsidP="003070E1">
            <w:pPr>
              <w:jc w:val="center"/>
              <w:rPr>
                <w:rFonts w:cs="Arial"/>
                <w:b/>
                <w:shd w:val="pct20" w:color="auto" w:fill="auto"/>
              </w:rPr>
            </w:pPr>
            <w:r w:rsidRPr="00771904">
              <w:rPr>
                <w:rFonts w:cs="Arial"/>
                <w:b/>
              </w:rPr>
              <w:t>FFY1</w:t>
            </w:r>
            <w:r w:rsidR="000553F7" w:rsidRPr="00771904">
              <w:rPr>
                <w:rFonts w:cs="Arial"/>
                <w:b/>
              </w:rPr>
              <w:t>2</w:t>
            </w:r>
          </w:p>
        </w:tc>
        <w:tc>
          <w:tcPr>
            <w:tcW w:w="7994" w:type="dxa"/>
            <w:vAlign w:val="center"/>
          </w:tcPr>
          <w:p w:rsidR="00844F6D" w:rsidRPr="00771904" w:rsidRDefault="00844F6D" w:rsidP="003070E1">
            <w:pPr>
              <w:jc w:val="center"/>
              <w:rPr>
                <w:rFonts w:cs="Arial"/>
                <w:b/>
              </w:rPr>
            </w:pPr>
            <w:r w:rsidRPr="00771904">
              <w:rPr>
                <w:rFonts w:cs="Arial"/>
                <w:b/>
              </w:rPr>
              <w:t>Measurable and Rigorous Target</w:t>
            </w:r>
          </w:p>
        </w:tc>
      </w:tr>
      <w:tr w:rsidR="00844F6D" w:rsidRPr="00771904" w:rsidTr="005508F3">
        <w:trPr>
          <w:trHeight w:val="125"/>
        </w:trPr>
        <w:tc>
          <w:tcPr>
            <w:tcW w:w="1564" w:type="dxa"/>
          </w:tcPr>
          <w:p w:rsidR="00844F6D" w:rsidRPr="00771904" w:rsidRDefault="002A6A91" w:rsidP="003070E1">
            <w:pPr>
              <w:jc w:val="center"/>
              <w:rPr>
                <w:rFonts w:cs="Arial"/>
                <w:i/>
              </w:rPr>
            </w:pPr>
            <w:r w:rsidRPr="00771904">
              <w:rPr>
                <w:rFonts w:cs="Arial"/>
                <w:i/>
              </w:rPr>
              <w:t>7/1/12-6/30/13</w:t>
            </w:r>
          </w:p>
        </w:tc>
        <w:tc>
          <w:tcPr>
            <w:tcW w:w="7994" w:type="dxa"/>
            <w:vAlign w:val="center"/>
          </w:tcPr>
          <w:p w:rsidR="00844F6D" w:rsidRPr="00771904" w:rsidRDefault="00740C1F" w:rsidP="00740C1F">
            <w:pPr>
              <w:jc w:val="center"/>
              <w:rPr>
                <w:rFonts w:cs="Arial"/>
              </w:rPr>
            </w:pPr>
            <w:r w:rsidRPr="00771904">
              <w:rPr>
                <w:rFonts w:cs="Arial"/>
              </w:rPr>
              <w:t>4A</w:t>
            </w:r>
            <w:r w:rsidR="00844F6D" w:rsidRPr="00771904">
              <w:rPr>
                <w:rFonts w:cs="Arial"/>
              </w:rPr>
              <w:t>)  83%     4</w:t>
            </w:r>
            <w:r w:rsidRPr="00771904">
              <w:rPr>
                <w:rFonts w:cs="Arial"/>
              </w:rPr>
              <w:t>B</w:t>
            </w:r>
            <w:r w:rsidR="00844F6D" w:rsidRPr="00771904">
              <w:rPr>
                <w:rFonts w:cs="Arial"/>
              </w:rPr>
              <w:t>) 80%    4</w:t>
            </w:r>
            <w:r w:rsidRPr="00771904">
              <w:rPr>
                <w:rFonts w:cs="Arial"/>
              </w:rPr>
              <w:t>C</w:t>
            </w:r>
            <w:r w:rsidR="00844F6D" w:rsidRPr="00771904">
              <w:rPr>
                <w:rFonts w:cs="Arial"/>
              </w:rPr>
              <w:t>) 91%</w:t>
            </w:r>
          </w:p>
        </w:tc>
      </w:tr>
    </w:tbl>
    <w:p w:rsidR="00844F6D" w:rsidRPr="00771904" w:rsidRDefault="00844F6D" w:rsidP="00844F6D">
      <w:pPr>
        <w:spacing w:before="120" w:after="120"/>
        <w:rPr>
          <w:rFonts w:cs="Arial"/>
          <w:b/>
        </w:rPr>
      </w:pPr>
      <w:r w:rsidRPr="00771904">
        <w:rPr>
          <w:rFonts w:cs="Arial"/>
          <w:b/>
        </w:rPr>
        <w:t xml:space="preserve">Actual Target Data for </w:t>
      </w:r>
      <w:r w:rsidR="00423EBD" w:rsidRPr="00771904">
        <w:rPr>
          <w:rFonts w:cs="Arial"/>
          <w:b/>
        </w:rPr>
        <w:t>FFY12</w:t>
      </w:r>
      <w:r w:rsidRPr="00771904">
        <w:rPr>
          <w:rFonts w:cs="Arial"/>
          <w:b/>
        </w:rPr>
        <w:t>:</w:t>
      </w:r>
    </w:p>
    <w:tbl>
      <w:tblPr>
        <w:tblW w:w="5483" w:type="dxa"/>
        <w:jc w:val="center"/>
        <w:tblInd w:w="-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93"/>
        <w:gridCol w:w="1890"/>
      </w:tblGrid>
      <w:tr w:rsidR="00844F6D" w:rsidRPr="00771904" w:rsidTr="000553F7">
        <w:trPr>
          <w:cantSplit/>
          <w:trHeight w:val="345"/>
          <w:jc w:val="center"/>
        </w:trPr>
        <w:tc>
          <w:tcPr>
            <w:tcW w:w="3593" w:type="dxa"/>
            <w:vAlign w:val="center"/>
          </w:tcPr>
          <w:p w:rsidR="00844F6D" w:rsidRPr="00771904" w:rsidRDefault="00844F6D" w:rsidP="003070E1">
            <w:pPr>
              <w:rPr>
                <w:rFonts w:cs="Arial"/>
                <w:b/>
                <w:bCs/>
              </w:rPr>
            </w:pPr>
            <w:r w:rsidRPr="00771904">
              <w:rPr>
                <w:rFonts w:cs="Arial"/>
                <w:b/>
                <w:bCs/>
              </w:rPr>
              <w:t>Family Outcome</w:t>
            </w:r>
            <w:r w:rsidR="00B926FC" w:rsidRPr="00771904">
              <w:rPr>
                <w:rFonts w:cs="Arial"/>
                <w:b/>
                <w:bCs/>
              </w:rPr>
              <w:t>s</w:t>
            </w:r>
          </w:p>
        </w:tc>
        <w:tc>
          <w:tcPr>
            <w:tcW w:w="1890" w:type="dxa"/>
            <w:vAlign w:val="center"/>
          </w:tcPr>
          <w:p w:rsidR="00844F6D" w:rsidRPr="00771904" w:rsidRDefault="00844F6D" w:rsidP="000553F7">
            <w:pPr>
              <w:jc w:val="center"/>
              <w:rPr>
                <w:rFonts w:cs="Arial"/>
              </w:rPr>
            </w:pPr>
            <w:r w:rsidRPr="00771904">
              <w:rPr>
                <w:rFonts w:cs="Arial"/>
              </w:rPr>
              <w:t>N=</w:t>
            </w:r>
            <w:r w:rsidR="000553F7" w:rsidRPr="00771904">
              <w:rPr>
                <w:rFonts w:cs="Arial"/>
              </w:rPr>
              <w:t>1212</w:t>
            </w:r>
          </w:p>
        </w:tc>
      </w:tr>
      <w:tr w:rsidR="00844F6D" w:rsidRPr="00771904" w:rsidTr="000553F7">
        <w:trPr>
          <w:jc w:val="center"/>
        </w:trPr>
        <w:tc>
          <w:tcPr>
            <w:tcW w:w="3593" w:type="dxa"/>
            <w:noWrap/>
            <w:vAlign w:val="bottom"/>
          </w:tcPr>
          <w:p w:rsidR="00844F6D" w:rsidRPr="00771904" w:rsidRDefault="00844F6D" w:rsidP="003070E1">
            <w:pPr>
              <w:rPr>
                <w:rFonts w:cs="Arial"/>
              </w:rPr>
            </w:pPr>
            <w:r w:rsidRPr="00771904">
              <w:rPr>
                <w:rFonts w:cs="Arial"/>
              </w:rPr>
              <w:t>4A (know my rights)</w:t>
            </w:r>
          </w:p>
        </w:tc>
        <w:tc>
          <w:tcPr>
            <w:tcW w:w="1890" w:type="dxa"/>
            <w:noWrap/>
            <w:vAlign w:val="center"/>
          </w:tcPr>
          <w:p w:rsidR="00844F6D" w:rsidRPr="00771904" w:rsidRDefault="000553F7" w:rsidP="000553F7">
            <w:pPr>
              <w:jc w:val="center"/>
              <w:rPr>
                <w:rFonts w:cs="Arial"/>
              </w:rPr>
            </w:pPr>
            <w:r w:rsidRPr="00771904">
              <w:rPr>
                <w:rFonts w:cs="Arial"/>
              </w:rPr>
              <w:t>91.2</w:t>
            </w:r>
            <w:r w:rsidR="00844F6D" w:rsidRPr="00771904">
              <w:rPr>
                <w:rFonts w:cs="Arial"/>
              </w:rPr>
              <w:t>%</w:t>
            </w:r>
            <w:r w:rsidR="00594A9B" w:rsidRPr="00771904">
              <w:rPr>
                <w:rFonts w:cs="Arial"/>
              </w:rPr>
              <w:t xml:space="preserve"> (</w:t>
            </w:r>
            <w:r w:rsidRPr="00771904">
              <w:rPr>
                <w:rFonts w:cs="Arial"/>
              </w:rPr>
              <w:t>1105</w:t>
            </w:r>
            <w:r w:rsidR="00594A9B" w:rsidRPr="00771904">
              <w:rPr>
                <w:rFonts w:cs="Arial"/>
              </w:rPr>
              <w:t>)</w:t>
            </w:r>
          </w:p>
        </w:tc>
      </w:tr>
      <w:tr w:rsidR="00844F6D" w:rsidRPr="00771904" w:rsidTr="000553F7">
        <w:trPr>
          <w:jc w:val="center"/>
        </w:trPr>
        <w:tc>
          <w:tcPr>
            <w:tcW w:w="3593" w:type="dxa"/>
            <w:noWrap/>
            <w:vAlign w:val="bottom"/>
          </w:tcPr>
          <w:p w:rsidR="00844F6D" w:rsidRPr="00771904" w:rsidRDefault="00844F6D" w:rsidP="003070E1">
            <w:pPr>
              <w:rPr>
                <w:rFonts w:cs="Arial"/>
              </w:rPr>
            </w:pPr>
            <w:r w:rsidRPr="00771904">
              <w:rPr>
                <w:rFonts w:cs="Arial"/>
              </w:rPr>
              <w:t>CI at 95%</w:t>
            </w:r>
            <w:r w:rsidR="00594A9B" w:rsidRPr="00771904">
              <w:rPr>
                <w:rFonts w:cs="Arial"/>
              </w:rPr>
              <w:t xml:space="preserve"> </w:t>
            </w:r>
            <w:r w:rsidRPr="00771904">
              <w:rPr>
                <w:rFonts w:cs="Arial"/>
              </w:rPr>
              <w:t>CL</w:t>
            </w:r>
          </w:p>
        </w:tc>
        <w:tc>
          <w:tcPr>
            <w:tcW w:w="1890" w:type="dxa"/>
            <w:noWrap/>
            <w:vAlign w:val="center"/>
          </w:tcPr>
          <w:p w:rsidR="00844F6D" w:rsidRPr="00771904" w:rsidRDefault="000553F7" w:rsidP="000553F7">
            <w:pPr>
              <w:jc w:val="center"/>
              <w:rPr>
                <w:rFonts w:cs="Arial"/>
              </w:rPr>
            </w:pPr>
            <w:r w:rsidRPr="00771904">
              <w:rPr>
                <w:rFonts w:cs="Arial"/>
              </w:rPr>
              <w:t>89.6</w:t>
            </w:r>
            <w:r w:rsidR="00594A9B" w:rsidRPr="00771904">
              <w:rPr>
                <w:rFonts w:cs="Arial"/>
              </w:rPr>
              <w:t>%</w:t>
            </w:r>
            <w:r w:rsidR="00844F6D" w:rsidRPr="00771904">
              <w:rPr>
                <w:rFonts w:cs="Arial"/>
              </w:rPr>
              <w:t xml:space="preserve"> </w:t>
            </w:r>
            <w:r w:rsidR="00594A9B" w:rsidRPr="00771904">
              <w:rPr>
                <w:rFonts w:cs="Arial"/>
              </w:rPr>
              <w:t>–</w:t>
            </w:r>
            <w:r w:rsidR="00844F6D" w:rsidRPr="00771904">
              <w:rPr>
                <w:rFonts w:cs="Arial"/>
              </w:rPr>
              <w:t xml:space="preserve"> </w:t>
            </w:r>
            <w:r w:rsidRPr="00771904">
              <w:rPr>
                <w:rFonts w:cs="Arial"/>
              </w:rPr>
              <w:t>92.8</w:t>
            </w:r>
            <w:r w:rsidR="00844F6D" w:rsidRPr="00771904">
              <w:rPr>
                <w:rFonts w:cs="Arial"/>
              </w:rPr>
              <w:t>%</w:t>
            </w:r>
          </w:p>
        </w:tc>
      </w:tr>
      <w:tr w:rsidR="00844F6D" w:rsidRPr="00771904" w:rsidTr="000553F7">
        <w:trPr>
          <w:jc w:val="center"/>
        </w:trPr>
        <w:tc>
          <w:tcPr>
            <w:tcW w:w="3593" w:type="dxa"/>
            <w:noWrap/>
            <w:vAlign w:val="bottom"/>
          </w:tcPr>
          <w:p w:rsidR="00844F6D" w:rsidRPr="00771904" w:rsidRDefault="00844F6D" w:rsidP="003070E1">
            <w:pPr>
              <w:rPr>
                <w:rFonts w:cs="Arial"/>
              </w:rPr>
            </w:pPr>
            <w:r w:rsidRPr="00771904">
              <w:rPr>
                <w:rFonts w:cs="Arial"/>
              </w:rPr>
              <w:t>SD / Standard Error</w:t>
            </w:r>
          </w:p>
        </w:tc>
        <w:tc>
          <w:tcPr>
            <w:tcW w:w="1890" w:type="dxa"/>
            <w:noWrap/>
            <w:vAlign w:val="center"/>
          </w:tcPr>
          <w:p w:rsidR="00844F6D" w:rsidRPr="00771904" w:rsidRDefault="000553F7" w:rsidP="000553F7">
            <w:pPr>
              <w:jc w:val="center"/>
              <w:rPr>
                <w:rFonts w:cs="Arial"/>
              </w:rPr>
            </w:pPr>
            <w:r w:rsidRPr="00771904">
              <w:rPr>
                <w:rFonts w:cs="Arial"/>
              </w:rPr>
              <w:t>28.4</w:t>
            </w:r>
            <w:r w:rsidR="00844F6D" w:rsidRPr="00771904">
              <w:rPr>
                <w:rFonts w:cs="Arial"/>
              </w:rPr>
              <w:t xml:space="preserve">% / </w:t>
            </w:r>
            <w:r w:rsidRPr="00771904">
              <w:rPr>
                <w:rFonts w:cs="Arial"/>
              </w:rPr>
              <w:t>0.82</w:t>
            </w:r>
            <w:r w:rsidR="00844F6D" w:rsidRPr="00771904">
              <w:rPr>
                <w:rFonts w:cs="Arial"/>
              </w:rPr>
              <w:t>%</w:t>
            </w:r>
          </w:p>
        </w:tc>
      </w:tr>
      <w:tr w:rsidR="00844F6D" w:rsidRPr="00771904" w:rsidTr="000553F7">
        <w:trPr>
          <w:trHeight w:val="65"/>
          <w:jc w:val="center"/>
        </w:trPr>
        <w:tc>
          <w:tcPr>
            <w:tcW w:w="3593" w:type="dxa"/>
            <w:vAlign w:val="center"/>
          </w:tcPr>
          <w:p w:rsidR="00844F6D" w:rsidRPr="00771904" w:rsidRDefault="00844F6D" w:rsidP="003070E1">
            <w:pPr>
              <w:rPr>
                <w:rFonts w:cs="Arial"/>
                <w:b/>
                <w:bCs/>
                <w:sz w:val="10"/>
                <w:szCs w:val="10"/>
              </w:rPr>
            </w:pPr>
          </w:p>
        </w:tc>
        <w:tc>
          <w:tcPr>
            <w:tcW w:w="1890" w:type="dxa"/>
            <w:vAlign w:val="center"/>
          </w:tcPr>
          <w:p w:rsidR="00844F6D" w:rsidRPr="00771904" w:rsidRDefault="00844F6D" w:rsidP="003070E1">
            <w:pPr>
              <w:jc w:val="center"/>
              <w:rPr>
                <w:rFonts w:cs="Arial"/>
                <w:sz w:val="10"/>
                <w:szCs w:val="10"/>
              </w:rPr>
            </w:pPr>
          </w:p>
        </w:tc>
      </w:tr>
      <w:tr w:rsidR="002F26CA" w:rsidRPr="00771904" w:rsidTr="000553F7">
        <w:trPr>
          <w:jc w:val="center"/>
        </w:trPr>
        <w:tc>
          <w:tcPr>
            <w:tcW w:w="3593" w:type="dxa"/>
            <w:noWrap/>
            <w:vAlign w:val="bottom"/>
          </w:tcPr>
          <w:p w:rsidR="002F26CA" w:rsidRPr="00771904" w:rsidRDefault="002F26CA" w:rsidP="003070E1">
            <w:pPr>
              <w:rPr>
                <w:rFonts w:cs="Arial"/>
              </w:rPr>
            </w:pPr>
            <w:r w:rsidRPr="00771904">
              <w:rPr>
                <w:rFonts w:cs="Arial"/>
              </w:rPr>
              <w:t>4B (communicate about my child)</w:t>
            </w:r>
          </w:p>
        </w:tc>
        <w:tc>
          <w:tcPr>
            <w:tcW w:w="1890" w:type="dxa"/>
            <w:noWrap/>
            <w:vAlign w:val="center"/>
          </w:tcPr>
          <w:p w:rsidR="002F26CA" w:rsidRPr="00771904" w:rsidRDefault="000553F7" w:rsidP="000553F7">
            <w:pPr>
              <w:jc w:val="center"/>
              <w:rPr>
                <w:rFonts w:cs="Arial"/>
              </w:rPr>
            </w:pPr>
            <w:r w:rsidRPr="00771904">
              <w:rPr>
                <w:rFonts w:cs="Arial"/>
              </w:rPr>
              <w:t>89.8</w:t>
            </w:r>
            <w:r w:rsidR="002F26CA" w:rsidRPr="00771904">
              <w:rPr>
                <w:rFonts w:cs="Arial"/>
              </w:rPr>
              <w:t>% (</w:t>
            </w:r>
            <w:r w:rsidRPr="00771904">
              <w:rPr>
                <w:rFonts w:cs="Arial"/>
              </w:rPr>
              <w:t>1088</w:t>
            </w:r>
            <w:r w:rsidR="002F26CA" w:rsidRPr="00771904">
              <w:rPr>
                <w:rFonts w:cs="Arial"/>
              </w:rPr>
              <w:t>)</w:t>
            </w:r>
          </w:p>
        </w:tc>
      </w:tr>
      <w:tr w:rsidR="002F26CA" w:rsidRPr="00771904" w:rsidTr="000553F7">
        <w:trPr>
          <w:jc w:val="center"/>
        </w:trPr>
        <w:tc>
          <w:tcPr>
            <w:tcW w:w="3593" w:type="dxa"/>
            <w:noWrap/>
            <w:vAlign w:val="bottom"/>
          </w:tcPr>
          <w:p w:rsidR="002F26CA" w:rsidRPr="00771904" w:rsidRDefault="002F26CA" w:rsidP="003070E1">
            <w:pPr>
              <w:rPr>
                <w:rFonts w:cs="Arial"/>
              </w:rPr>
            </w:pPr>
            <w:r w:rsidRPr="00771904">
              <w:rPr>
                <w:rFonts w:cs="Arial"/>
              </w:rPr>
              <w:t>CI at 95%</w:t>
            </w:r>
            <w:r w:rsidR="00594A9B" w:rsidRPr="00771904">
              <w:rPr>
                <w:rFonts w:cs="Arial"/>
              </w:rPr>
              <w:t xml:space="preserve"> </w:t>
            </w:r>
            <w:r w:rsidRPr="00771904">
              <w:rPr>
                <w:rFonts w:cs="Arial"/>
              </w:rPr>
              <w:t>CL</w:t>
            </w:r>
          </w:p>
        </w:tc>
        <w:tc>
          <w:tcPr>
            <w:tcW w:w="1890" w:type="dxa"/>
            <w:noWrap/>
            <w:vAlign w:val="center"/>
          </w:tcPr>
          <w:p w:rsidR="002F26CA" w:rsidRPr="00771904" w:rsidRDefault="000553F7" w:rsidP="000553F7">
            <w:pPr>
              <w:jc w:val="center"/>
              <w:rPr>
                <w:rFonts w:cs="Arial"/>
              </w:rPr>
            </w:pPr>
            <w:r w:rsidRPr="00771904">
              <w:rPr>
                <w:rFonts w:cs="Arial"/>
              </w:rPr>
              <w:t>88.1</w:t>
            </w:r>
            <w:r w:rsidR="002F26CA" w:rsidRPr="00771904">
              <w:rPr>
                <w:rFonts w:cs="Arial"/>
              </w:rPr>
              <w:t xml:space="preserve">% - </w:t>
            </w:r>
            <w:r w:rsidRPr="00771904">
              <w:rPr>
                <w:rFonts w:cs="Arial"/>
              </w:rPr>
              <w:t>91.5</w:t>
            </w:r>
            <w:r w:rsidR="002F26CA" w:rsidRPr="00771904">
              <w:rPr>
                <w:rFonts w:cs="Arial"/>
              </w:rPr>
              <w:t>%</w:t>
            </w:r>
          </w:p>
        </w:tc>
      </w:tr>
      <w:tr w:rsidR="002F26CA" w:rsidRPr="00771904" w:rsidTr="000553F7">
        <w:trPr>
          <w:jc w:val="center"/>
        </w:trPr>
        <w:tc>
          <w:tcPr>
            <w:tcW w:w="3593" w:type="dxa"/>
            <w:noWrap/>
            <w:vAlign w:val="bottom"/>
          </w:tcPr>
          <w:p w:rsidR="002F26CA" w:rsidRPr="00771904" w:rsidRDefault="002F26CA" w:rsidP="003070E1">
            <w:pPr>
              <w:rPr>
                <w:rFonts w:cs="Arial"/>
              </w:rPr>
            </w:pPr>
            <w:r w:rsidRPr="00771904">
              <w:rPr>
                <w:rFonts w:cs="Arial"/>
              </w:rPr>
              <w:t>SD / Standard Error</w:t>
            </w:r>
          </w:p>
        </w:tc>
        <w:tc>
          <w:tcPr>
            <w:tcW w:w="1890" w:type="dxa"/>
            <w:noWrap/>
            <w:vAlign w:val="center"/>
          </w:tcPr>
          <w:p w:rsidR="002F26CA" w:rsidRPr="00771904" w:rsidRDefault="000553F7" w:rsidP="000553F7">
            <w:pPr>
              <w:jc w:val="center"/>
              <w:rPr>
                <w:rFonts w:cs="Arial"/>
              </w:rPr>
            </w:pPr>
            <w:r w:rsidRPr="00771904">
              <w:rPr>
                <w:rFonts w:cs="Arial"/>
              </w:rPr>
              <w:t>30.3</w:t>
            </w:r>
            <w:r w:rsidR="002F26CA" w:rsidRPr="00771904">
              <w:rPr>
                <w:rFonts w:cs="Arial"/>
              </w:rPr>
              <w:t xml:space="preserve">% / </w:t>
            </w:r>
            <w:r w:rsidRPr="00771904">
              <w:rPr>
                <w:rFonts w:cs="Arial"/>
              </w:rPr>
              <w:t>0.87</w:t>
            </w:r>
            <w:r w:rsidR="002F26CA" w:rsidRPr="00771904">
              <w:rPr>
                <w:rFonts w:cs="Arial"/>
              </w:rPr>
              <w:t>%</w:t>
            </w:r>
          </w:p>
        </w:tc>
      </w:tr>
      <w:tr w:rsidR="00844F6D" w:rsidRPr="00771904" w:rsidTr="000553F7">
        <w:trPr>
          <w:trHeight w:val="65"/>
          <w:jc w:val="center"/>
        </w:trPr>
        <w:tc>
          <w:tcPr>
            <w:tcW w:w="3593" w:type="dxa"/>
            <w:vAlign w:val="center"/>
          </w:tcPr>
          <w:p w:rsidR="00844F6D" w:rsidRPr="00771904" w:rsidRDefault="00844F6D" w:rsidP="003070E1">
            <w:pPr>
              <w:rPr>
                <w:rFonts w:cs="Arial"/>
                <w:b/>
                <w:bCs/>
                <w:sz w:val="10"/>
                <w:szCs w:val="10"/>
              </w:rPr>
            </w:pPr>
          </w:p>
        </w:tc>
        <w:tc>
          <w:tcPr>
            <w:tcW w:w="1890" w:type="dxa"/>
            <w:vAlign w:val="center"/>
          </w:tcPr>
          <w:p w:rsidR="00844F6D" w:rsidRPr="00771904" w:rsidRDefault="00844F6D" w:rsidP="003070E1">
            <w:pPr>
              <w:jc w:val="center"/>
              <w:rPr>
                <w:rFonts w:cs="Arial"/>
                <w:sz w:val="10"/>
                <w:szCs w:val="10"/>
              </w:rPr>
            </w:pPr>
          </w:p>
        </w:tc>
      </w:tr>
      <w:tr w:rsidR="002F26CA" w:rsidRPr="00771904" w:rsidTr="000553F7">
        <w:trPr>
          <w:jc w:val="center"/>
        </w:trPr>
        <w:tc>
          <w:tcPr>
            <w:tcW w:w="3593" w:type="dxa"/>
            <w:noWrap/>
            <w:vAlign w:val="bottom"/>
          </w:tcPr>
          <w:p w:rsidR="002F26CA" w:rsidRPr="00771904" w:rsidRDefault="002F26CA" w:rsidP="003070E1">
            <w:pPr>
              <w:rPr>
                <w:rFonts w:cs="Arial"/>
              </w:rPr>
            </w:pPr>
            <w:r w:rsidRPr="00771904">
              <w:rPr>
                <w:rFonts w:cs="Arial"/>
              </w:rPr>
              <w:t>4C (help me help my child)</w:t>
            </w:r>
          </w:p>
        </w:tc>
        <w:tc>
          <w:tcPr>
            <w:tcW w:w="1890" w:type="dxa"/>
            <w:noWrap/>
            <w:vAlign w:val="center"/>
          </w:tcPr>
          <w:p w:rsidR="002F26CA" w:rsidRPr="00771904" w:rsidRDefault="000553F7" w:rsidP="000553F7">
            <w:pPr>
              <w:jc w:val="center"/>
              <w:rPr>
                <w:rFonts w:cs="Arial"/>
              </w:rPr>
            </w:pPr>
            <w:r w:rsidRPr="00771904">
              <w:rPr>
                <w:rFonts w:cs="Arial"/>
              </w:rPr>
              <w:t>95.3</w:t>
            </w:r>
            <w:r w:rsidR="002F26CA" w:rsidRPr="00771904">
              <w:rPr>
                <w:rFonts w:cs="Arial"/>
              </w:rPr>
              <w:t>% (</w:t>
            </w:r>
            <w:r w:rsidRPr="00771904">
              <w:rPr>
                <w:rFonts w:cs="Arial"/>
              </w:rPr>
              <w:t>1155</w:t>
            </w:r>
            <w:r w:rsidR="002F26CA" w:rsidRPr="00771904">
              <w:rPr>
                <w:rFonts w:cs="Arial"/>
              </w:rPr>
              <w:t>)</w:t>
            </w:r>
          </w:p>
        </w:tc>
      </w:tr>
      <w:tr w:rsidR="002F26CA" w:rsidRPr="00771904" w:rsidTr="000553F7">
        <w:trPr>
          <w:trHeight w:val="354"/>
          <w:jc w:val="center"/>
        </w:trPr>
        <w:tc>
          <w:tcPr>
            <w:tcW w:w="3593" w:type="dxa"/>
            <w:noWrap/>
            <w:vAlign w:val="bottom"/>
          </w:tcPr>
          <w:p w:rsidR="002F26CA" w:rsidRPr="00771904" w:rsidRDefault="002F26CA" w:rsidP="003070E1">
            <w:pPr>
              <w:rPr>
                <w:rFonts w:cs="Arial"/>
              </w:rPr>
            </w:pPr>
            <w:r w:rsidRPr="00771904">
              <w:rPr>
                <w:rFonts w:cs="Arial"/>
              </w:rPr>
              <w:t>CI at 95%</w:t>
            </w:r>
            <w:r w:rsidR="00594A9B" w:rsidRPr="00771904">
              <w:rPr>
                <w:rFonts w:cs="Arial"/>
              </w:rPr>
              <w:t xml:space="preserve"> </w:t>
            </w:r>
            <w:r w:rsidRPr="00771904">
              <w:rPr>
                <w:rFonts w:cs="Arial"/>
              </w:rPr>
              <w:t>CL</w:t>
            </w:r>
          </w:p>
        </w:tc>
        <w:tc>
          <w:tcPr>
            <w:tcW w:w="1890" w:type="dxa"/>
            <w:noWrap/>
            <w:vAlign w:val="center"/>
          </w:tcPr>
          <w:p w:rsidR="002F26CA" w:rsidRPr="00771904" w:rsidRDefault="000553F7" w:rsidP="000553F7">
            <w:pPr>
              <w:jc w:val="center"/>
              <w:rPr>
                <w:rFonts w:cs="Arial"/>
              </w:rPr>
            </w:pPr>
            <w:r w:rsidRPr="00771904">
              <w:rPr>
                <w:rFonts w:cs="Arial"/>
              </w:rPr>
              <w:t>94.1</w:t>
            </w:r>
            <w:r w:rsidR="002F26CA" w:rsidRPr="00771904">
              <w:rPr>
                <w:rFonts w:cs="Arial"/>
              </w:rPr>
              <w:t xml:space="preserve">% - </w:t>
            </w:r>
            <w:r w:rsidRPr="00771904">
              <w:rPr>
                <w:rFonts w:cs="Arial"/>
              </w:rPr>
              <w:t>96.5</w:t>
            </w:r>
            <w:r w:rsidR="002F26CA" w:rsidRPr="00771904">
              <w:rPr>
                <w:rFonts w:cs="Arial"/>
              </w:rPr>
              <w:t>%</w:t>
            </w:r>
          </w:p>
        </w:tc>
      </w:tr>
      <w:tr w:rsidR="002F26CA" w:rsidRPr="00771904" w:rsidTr="000553F7">
        <w:trPr>
          <w:trHeight w:val="255"/>
          <w:jc w:val="center"/>
        </w:trPr>
        <w:tc>
          <w:tcPr>
            <w:tcW w:w="3593" w:type="dxa"/>
            <w:noWrap/>
            <w:vAlign w:val="bottom"/>
          </w:tcPr>
          <w:p w:rsidR="002F26CA" w:rsidRPr="00771904" w:rsidRDefault="002F26CA" w:rsidP="003070E1">
            <w:pPr>
              <w:rPr>
                <w:rFonts w:cs="Arial"/>
              </w:rPr>
            </w:pPr>
            <w:r w:rsidRPr="00771904">
              <w:rPr>
                <w:rFonts w:cs="Arial"/>
              </w:rPr>
              <w:t>SD / Standard Error</w:t>
            </w:r>
          </w:p>
        </w:tc>
        <w:tc>
          <w:tcPr>
            <w:tcW w:w="1890" w:type="dxa"/>
            <w:noWrap/>
            <w:vAlign w:val="center"/>
          </w:tcPr>
          <w:p w:rsidR="002F26CA" w:rsidRPr="00771904" w:rsidRDefault="000553F7" w:rsidP="000553F7">
            <w:pPr>
              <w:jc w:val="center"/>
              <w:rPr>
                <w:rFonts w:cs="Arial"/>
              </w:rPr>
            </w:pPr>
            <w:r w:rsidRPr="00771904">
              <w:rPr>
                <w:rFonts w:cs="Arial"/>
              </w:rPr>
              <w:t>21.2</w:t>
            </w:r>
            <w:r w:rsidR="002F26CA" w:rsidRPr="00771904">
              <w:rPr>
                <w:rFonts w:cs="Arial"/>
              </w:rPr>
              <w:t xml:space="preserve">% / </w:t>
            </w:r>
            <w:r w:rsidR="00594A9B" w:rsidRPr="00771904">
              <w:rPr>
                <w:rFonts w:cs="Arial"/>
              </w:rPr>
              <w:t>0.</w:t>
            </w:r>
            <w:r w:rsidRPr="00771904">
              <w:rPr>
                <w:rFonts w:cs="Arial"/>
              </w:rPr>
              <w:t>61</w:t>
            </w:r>
            <w:r w:rsidR="002F26CA" w:rsidRPr="00771904">
              <w:rPr>
                <w:rFonts w:cs="Arial"/>
              </w:rPr>
              <w:t>%</w:t>
            </w:r>
          </w:p>
        </w:tc>
      </w:tr>
    </w:tbl>
    <w:p w:rsidR="007C7060" w:rsidRPr="00771904" w:rsidRDefault="007C7060" w:rsidP="00721058">
      <w:pPr>
        <w:rPr>
          <w:rFonts w:cs="Arial"/>
          <w:sz w:val="8"/>
          <w:szCs w:val="8"/>
        </w:rPr>
      </w:pPr>
    </w:p>
    <w:p w:rsidR="007C01E0" w:rsidRPr="00771904" w:rsidRDefault="000713C9" w:rsidP="000713C9">
      <w:pPr>
        <w:ind w:right="-144"/>
        <w:jc w:val="center"/>
        <w:rPr>
          <w:rFonts w:cs="Arial"/>
          <w:i/>
          <w:color w:val="000000" w:themeColor="text1"/>
          <w:szCs w:val="20"/>
        </w:rPr>
      </w:pPr>
      <w:r w:rsidRPr="00771904">
        <w:rPr>
          <w:rFonts w:cs="Arial"/>
          <w:i/>
          <w:color w:val="000000" w:themeColor="text1"/>
          <w:szCs w:val="20"/>
        </w:rPr>
        <w:t>State Met All Three Targets</w:t>
      </w:r>
    </w:p>
    <w:p w:rsidR="00C15B26" w:rsidRPr="00771904" w:rsidRDefault="00C15B26" w:rsidP="00C15B26">
      <w:pPr>
        <w:ind w:right="-144"/>
        <w:rPr>
          <w:rFonts w:cs="Arial"/>
          <w:color w:val="000000" w:themeColor="text1"/>
          <w:szCs w:val="20"/>
          <w:highlight w:val="cyan"/>
        </w:rPr>
      </w:pPr>
    </w:p>
    <w:p w:rsidR="000713C9" w:rsidRPr="00771904" w:rsidRDefault="00FB6B4B" w:rsidP="00FB6B4B">
      <w:pPr>
        <w:ind w:right="-144"/>
        <w:jc w:val="center"/>
        <w:rPr>
          <w:rFonts w:cs="Arial"/>
          <w:color w:val="000000" w:themeColor="text1"/>
          <w:szCs w:val="20"/>
        </w:rPr>
      </w:pPr>
      <w:r w:rsidRPr="00771904">
        <w:rPr>
          <w:rFonts w:cs="Arial"/>
          <w:color w:val="000000" w:themeColor="text1"/>
          <w:szCs w:val="20"/>
        </w:rPr>
        <w:t>(</w:t>
      </w:r>
      <w:r w:rsidR="00C15B26" w:rsidRPr="00771904">
        <w:rPr>
          <w:rFonts w:cs="Arial"/>
          <w:color w:val="000000" w:themeColor="text1"/>
          <w:szCs w:val="20"/>
        </w:rPr>
        <w:t>CI=Confidence Interval, CL=Confidence Level, SD=Standard Deviation</w:t>
      </w:r>
      <w:r w:rsidRPr="00771904">
        <w:rPr>
          <w:rFonts w:cs="Arial"/>
          <w:color w:val="000000" w:themeColor="text1"/>
          <w:szCs w:val="20"/>
        </w:rPr>
        <w:t>)</w:t>
      </w:r>
    </w:p>
    <w:p w:rsidR="00844F6D" w:rsidRPr="00771904" w:rsidRDefault="00844F6D" w:rsidP="00003898">
      <w:pPr>
        <w:pStyle w:val="BodyText2"/>
        <w:spacing w:before="0" w:after="0"/>
        <w:rPr>
          <w:b/>
          <w:sz w:val="22"/>
          <w:szCs w:val="22"/>
        </w:rPr>
      </w:pPr>
      <w:r w:rsidRPr="00771904">
        <w:rPr>
          <w:sz w:val="22"/>
          <w:szCs w:val="22"/>
        </w:rPr>
        <w:lastRenderedPageBreak/>
        <w:t>Using a census model and the same method for delivering and obtaining the surveys as last year (</w:t>
      </w:r>
      <w:r w:rsidR="00C52642" w:rsidRPr="00771904">
        <w:rPr>
          <w:sz w:val="22"/>
          <w:szCs w:val="22"/>
        </w:rPr>
        <w:t xml:space="preserve">both done </w:t>
      </w:r>
      <w:r w:rsidRPr="00771904">
        <w:rPr>
          <w:sz w:val="22"/>
          <w:szCs w:val="22"/>
        </w:rPr>
        <w:t xml:space="preserve">in person), </w:t>
      </w:r>
      <w:r w:rsidR="000553F7" w:rsidRPr="00771904">
        <w:rPr>
          <w:sz w:val="22"/>
          <w:szCs w:val="22"/>
        </w:rPr>
        <w:t>1958</w:t>
      </w:r>
      <w:r w:rsidRPr="00771904">
        <w:rPr>
          <w:sz w:val="22"/>
          <w:szCs w:val="22"/>
        </w:rPr>
        <w:t xml:space="preserve"> surveys were given out and </w:t>
      </w:r>
      <w:r w:rsidR="000553F7" w:rsidRPr="00771904">
        <w:rPr>
          <w:sz w:val="22"/>
          <w:szCs w:val="22"/>
        </w:rPr>
        <w:t>1216</w:t>
      </w:r>
      <w:r w:rsidRPr="00771904">
        <w:rPr>
          <w:sz w:val="22"/>
          <w:szCs w:val="22"/>
        </w:rPr>
        <w:t xml:space="preserve"> surveys were returned.  This return rate of </w:t>
      </w:r>
      <w:r w:rsidR="00482C9D" w:rsidRPr="00771904">
        <w:rPr>
          <w:sz w:val="22"/>
          <w:szCs w:val="22"/>
        </w:rPr>
        <w:t>62</w:t>
      </w:r>
      <w:r w:rsidRPr="00771904">
        <w:rPr>
          <w:sz w:val="22"/>
          <w:szCs w:val="22"/>
        </w:rPr>
        <w:t xml:space="preserve">% is </w:t>
      </w:r>
      <w:r w:rsidR="00AE0907" w:rsidRPr="00771904">
        <w:rPr>
          <w:sz w:val="22"/>
          <w:szCs w:val="22"/>
        </w:rPr>
        <w:t xml:space="preserve">12% </w:t>
      </w:r>
      <w:r w:rsidR="00594A9B" w:rsidRPr="00771904">
        <w:rPr>
          <w:sz w:val="22"/>
          <w:szCs w:val="22"/>
        </w:rPr>
        <w:t xml:space="preserve">higher than </w:t>
      </w:r>
      <w:r w:rsidR="00AE0907" w:rsidRPr="00771904">
        <w:rPr>
          <w:sz w:val="22"/>
          <w:szCs w:val="22"/>
        </w:rPr>
        <w:t xml:space="preserve">last </w:t>
      </w:r>
      <w:r w:rsidR="004B5DB7" w:rsidRPr="00771904">
        <w:rPr>
          <w:sz w:val="22"/>
          <w:szCs w:val="22"/>
        </w:rPr>
        <w:t>year</w:t>
      </w:r>
      <w:r w:rsidRPr="00771904">
        <w:rPr>
          <w:sz w:val="22"/>
          <w:szCs w:val="22"/>
        </w:rPr>
        <w:t xml:space="preserve">.  Of the </w:t>
      </w:r>
      <w:r w:rsidR="000553F7" w:rsidRPr="00771904">
        <w:rPr>
          <w:sz w:val="22"/>
          <w:szCs w:val="22"/>
        </w:rPr>
        <w:t>1216</w:t>
      </w:r>
      <w:r w:rsidR="00594A9B" w:rsidRPr="00771904">
        <w:rPr>
          <w:sz w:val="22"/>
          <w:szCs w:val="22"/>
        </w:rPr>
        <w:t xml:space="preserve"> </w:t>
      </w:r>
      <w:r w:rsidRPr="00771904">
        <w:rPr>
          <w:sz w:val="22"/>
          <w:szCs w:val="22"/>
        </w:rPr>
        <w:t xml:space="preserve">returned, </w:t>
      </w:r>
      <w:r w:rsidR="000553F7" w:rsidRPr="00771904">
        <w:rPr>
          <w:sz w:val="22"/>
          <w:szCs w:val="22"/>
        </w:rPr>
        <w:t>1212</w:t>
      </w:r>
      <w:r w:rsidRPr="00771904">
        <w:rPr>
          <w:sz w:val="22"/>
          <w:szCs w:val="22"/>
        </w:rPr>
        <w:t xml:space="preserve"> were complete enough to be usable in </w:t>
      </w:r>
      <w:r w:rsidR="00594A9B" w:rsidRPr="00771904">
        <w:rPr>
          <w:sz w:val="22"/>
          <w:szCs w:val="22"/>
        </w:rPr>
        <w:t>the</w:t>
      </w:r>
      <w:r w:rsidRPr="00771904">
        <w:rPr>
          <w:sz w:val="22"/>
          <w:szCs w:val="22"/>
        </w:rPr>
        <w:t xml:space="preserve"> </w:t>
      </w:r>
      <w:proofErr w:type="spellStart"/>
      <w:r w:rsidRPr="00771904">
        <w:rPr>
          <w:sz w:val="22"/>
          <w:szCs w:val="22"/>
        </w:rPr>
        <w:t>Rasch</w:t>
      </w:r>
      <w:proofErr w:type="spellEnd"/>
      <w:r w:rsidRPr="00771904">
        <w:rPr>
          <w:sz w:val="22"/>
          <w:szCs w:val="22"/>
        </w:rPr>
        <w:t xml:space="preserve"> analysis. </w:t>
      </w:r>
    </w:p>
    <w:p w:rsidR="009A7E7F" w:rsidRPr="00771904" w:rsidRDefault="009A7E7F" w:rsidP="00003898">
      <w:pPr>
        <w:pStyle w:val="BodyText2"/>
        <w:spacing w:before="0" w:after="0"/>
        <w:rPr>
          <w:sz w:val="22"/>
          <w:szCs w:val="22"/>
        </w:rPr>
      </w:pPr>
    </w:p>
    <w:p w:rsidR="00844F6D" w:rsidRPr="00771904" w:rsidRDefault="00BE35C2" w:rsidP="00003898">
      <w:pPr>
        <w:pStyle w:val="BodyText2"/>
        <w:spacing w:before="0" w:after="0"/>
        <w:rPr>
          <w:b/>
          <w:sz w:val="22"/>
          <w:szCs w:val="22"/>
        </w:rPr>
      </w:pPr>
      <w:r w:rsidRPr="00771904">
        <w:rPr>
          <w:sz w:val="22"/>
          <w:szCs w:val="22"/>
        </w:rPr>
        <w:t>T</w:t>
      </w:r>
      <w:r w:rsidR="004B5DB7" w:rsidRPr="00771904">
        <w:rPr>
          <w:sz w:val="22"/>
          <w:szCs w:val="22"/>
        </w:rPr>
        <w:t xml:space="preserve">he response pool </w:t>
      </w:r>
      <w:r w:rsidR="00C15B26" w:rsidRPr="00771904">
        <w:rPr>
          <w:sz w:val="22"/>
          <w:szCs w:val="22"/>
        </w:rPr>
        <w:t xml:space="preserve">was </w:t>
      </w:r>
      <w:r w:rsidR="004B5DB7" w:rsidRPr="00771904">
        <w:rPr>
          <w:sz w:val="22"/>
          <w:szCs w:val="22"/>
        </w:rPr>
        <w:t xml:space="preserve">compared to the survey census and </w:t>
      </w:r>
      <w:r w:rsidR="00192829" w:rsidRPr="00771904">
        <w:rPr>
          <w:sz w:val="22"/>
          <w:szCs w:val="22"/>
        </w:rPr>
        <w:t>the state</w:t>
      </w:r>
      <w:r w:rsidR="004B5DB7" w:rsidRPr="00771904">
        <w:rPr>
          <w:sz w:val="22"/>
          <w:szCs w:val="22"/>
        </w:rPr>
        <w:t xml:space="preserve"> child count data (Table 1 from Section 618 of IDEA</w:t>
      </w:r>
      <w:r w:rsidRPr="00771904">
        <w:rPr>
          <w:sz w:val="22"/>
          <w:szCs w:val="22"/>
        </w:rPr>
        <w:t xml:space="preserve">) </w:t>
      </w:r>
      <w:r w:rsidR="00C15B26" w:rsidRPr="00771904">
        <w:rPr>
          <w:sz w:val="22"/>
          <w:szCs w:val="22"/>
        </w:rPr>
        <w:t xml:space="preserve">using </w:t>
      </w:r>
      <w:r w:rsidRPr="00771904">
        <w:rPr>
          <w:sz w:val="22"/>
          <w:szCs w:val="22"/>
        </w:rPr>
        <w:t xml:space="preserve">the variables of </w:t>
      </w:r>
      <w:r w:rsidR="00C15B26" w:rsidRPr="00771904">
        <w:rPr>
          <w:sz w:val="22"/>
          <w:szCs w:val="22"/>
        </w:rPr>
        <w:t>race / ethnicity and gender</w:t>
      </w:r>
      <w:r w:rsidRPr="00771904">
        <w:rPr>
          <w:sz w:val="22"/>
          <w:szCs w:val="22"/>
        </w:rPr>
        <w:t xml:space="preserve">.  </w:t>
      </w:r>
      <w:r w:rsidR="00C15B26" w:rsidRPr="00771904">
        <w:rPr>
          <w:sz w:val="22"/>
          <w:szCs w:val="22"/>
        </w:rPr>
        <w:t xml:space="preserve"> </w:t>
      </w:r>
      <w:r w:rsidRPr="00771904">
        <w:rPr>
          <w:sz w:val="22"/>
          <w:szCs w:val="22"/>
        </w:rPr>
        <w:t xml:space="preserve">Based on those demographics, </w:t>
      </w:r>
      <w:r w:rsidR="004B5DB7" w:rsidRPr="00771904">
        <w:rPr>
          <w:sz w:val="22"/>
          <w:szCs w:val="22"/>
        </w:rPr>
        <w:t>t</w:t>
      </w:r>
      <w:r w:rsidR="00844F6D" w:rsidRPr="00771904">
        <w:rPr>
          <w:sz w:val="22"/>
          <w:szCs w:val="22"/>
        </w:rPr>
        <w:t>he response pool was determined</w:t>
      </w:r>
      <w:r w:rsidR="00C15B26" w:rsidRPr="00771904">
        <w:rPr>
          <w:sz w:val="22"/>
          <w:szCs w:val="22"/>
        </w:rPr>
        <w:t xml:space="preserve"> to be representative</w:t>
      </w:r>
      <w:r w:rsidRPr="00771904">
        <w:rPr>
          <w:sz w:val="22"/>
          <w:szCs w:val="22"/>
        </w:rPr>
        <w:t xml:space="preserve"> of the children served in Connecticut</w:t>
      </w:r>
      <w:r w:rsidR="00C15B26" w:rsidRPr="00771904">
        <w:rPr>
          <w:sz w:val="22"/>
          <w:szCs w:val="22"/>
        </w:rPr>
        <w:t>.</w:t>
      </w:r>
      <w:r w:rsidR="00844F6D" w:rsidRPr="00771904">
        <w:rPr>
          <w:sz w:val="22"/>
          <w:szCs w:val="22"/>
        </w:rPr>
        <w:t xml:space="preserve"> </w:t>
      </w:r>
    </w:p>
    <w:tbl>
      <w:tblPr>
        <w:tblW w:w="9652" w:type="dxa"/>
        <w:tblInd w:w="93" w:type="dxa"/>
        <w:tblLayout w:type="fixed"/>
        <w:tblCellMar>
          <w:left w:w="115" w:type="dxa"/>
          <w:right w:w="115" w:type="dxa"/>
        </w:tblCellMar>
        <w:tblLook w:val="04A0" w:firstRow="1" w:lastRow="0" w:firstColumn="1" w:lastColumn="0" w:noHBand="0" w:noVBand="1"/>
      </w:tblPr>
      <w:tblGrid>
        <w:gridCol w:w="3262"/>
        <w:gridCol w:w="720"/>
        <w:gridCol w:w="1445"/>
        <w:gridCol w:w="720"/>
        <w:gridCol w:w="1352"/>
        <w:gridCol w:w="796"/>
        <w:gridCol w:w="1357"/>
      </w:tblGrid>
      <w:tr w:rsidR="00844F6D" w:rsidRPr="00771904" w:rsidTr="00490E30">
        <w:trPr>
          <w:trHeight w:val="630"/>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6D" w:rsidRPr="00771904" w:rsidRDefault="00844F6D" w:rsidP="00EE47F6">
            <w:pPr>
              <w:rPr>
                <w:rFonts w:cs="Arial"/>
                <w:color w:val="000000"/>
                <w:szCs w:val="22"/>
              </w:rPr>
            </w:pPr>
            <w:r w:rsidRPr="00771904">
              <w:rPr>
                <w:rFonts w:cs="Arial"/>
                <w:color w:val="000000"/>
                <w:szCs w:val="22"/>
              </w:rPr>
              <w:t> </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844F6D" w:rsidRPr="00771904" w:rsidRDefault="00844F6D" w:rsidP="00EE47F6">
            <w:pPr>
              <w:jc w:val="center"/>
              <w:rPr>
                <w:rFonts w:cs="Arial"/>
                <w:b/>
                <w:bCs/>
                <w:color w:val="000000"/>
                <w:szCs w:val="22"/>
              </w:rPr>
            </w:pPr>
            <w:r w:rsidRPr="00771904">
              <w:rPr>
                <w:rFonts w:cs="Arial"/>
                <w:b/>
                <w:bCs/>
                <w:color w:val="000000"/>
                <w:szCs w:val="22"/>
              </w:rPr>
              <w:t>Section 618 of IDEA Table 1</w:t>
            </w: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844F6D" w:rsidRPr="00771904" w:rsidRDefault="00844F6D" w:rsidP="00EE47F6">
            <w:pPr>
              <w:jc w:val="center"/>
              <w:rPr>
                <w:rFonts w:cs="Arial"/>
                <w:b/>
                <w:bCs/>
                <w:color w:val="000000"/>
                <w:szCs w:val="22"/>
              </w:rPr>
            </w:pPr>
            <w:r w:rsidRPr="00771904">
              <w:rPr>
                <w:rFonts w:cs="Arial"/>
                <w:b/>
                <w:bCs/>
                <w:color w:val="000000"/>
                <w:szCs w:val="22"/>
              </w:rPr>
              <w:t>Surveys Sent Out Using Census</w:t>
            </w:r>
          </w:p>
        </w:tc>
        <w:tc>
          <w:tcPr>
            <w:tcW w:w="2153" w:type="dxa"/>
            <w:gridSpan w:val="2"/>
            <w:tcBorders>
              <w:top w:val="single" w:sz="4" w:space="0" w:color="auto"/>
              <w:left w:val="nil"/>
              <w:bottom w:val="single" w:sz="4" w:space="0" w:color="auto"/>
              <w:right w:val="single" w:sz="4" w:space="0" w:color="000000"/>
            </w:tcBorders>
            <w:shd w:val="clear" w:color="auto" w:fill="auto"/>
            <w:vAlign w:val="center"/>
            <w:hideMark/>
          </w:tcPr>
          <w:p w:rsidR="00844F6D" w:rsidRPr="00771904" w:rsidRDefault="00844F6D" w:rsidP="00EE47F6">
            <w:pPr>
              <w:jc w:val="center"/>
              <w:rPr>
                <w:rFonts w:cs="Arial"/>
                <w:b/>
                <w:bCs/>
                <w:color w:val="000000"/>
                <w:szCs w:val="22"/>
              </w:rPr>
            </w:pPr>
            <w:r w:rsidRPr="00771904">
              <w:rPr>
                <w:rFonts w:cs="Arial"/>
                <w:b/>
                <w:bCs/>
                <w:color w:val="000000"/>
                <w:szCs w:val="22"/>
              </w:rPr>
              <w:t>Survey Response Pool</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490E30" w:rsidRPr="00771904" w:rsidRDefault="00490E30" w:rsidP="00EE47F6">
            <w:pPr>
              <w:rPr>
                <w:rFonts w:cs="Arial"/>
                <w:b/>
                <w:bCs/>
                <w:color w:val="000000"/>
                <w:szCs w:val="22"/>
              </w:rPr>
            </w:pPr>
            <w:r w:rsidRPr="00771904">
              <w:rPr>
                <w:rFonts w:cs="Arial"/>
                <w:b/>
                <w:bCs/>
                <w:color w:val="000000"/>
                <w:szCs w:val="22"/>
              </w:rPr>
              <w:t>Total</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rPr>
                <w:rFonts w:cs="Arial"/>
              </w:rPr>
            </w:pPr>
            <w:r w:rsidRPr="00771904">
              <w:rPr>
                <w:rFonts w:cs="Arial"/>
              </w:rPr>
              <w:t>4410</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rPr>
                <w:rFonts w:cs="Arial"/>
              </w:rPr>
            </w:pPr>
            <w:r w:rsidRPr="00771904">
              <w:rPr>
                <w:rFonts w:cs="Arial"/>
              </w:rPr>
              <w:t>12/1/2012</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rPr>
                <w:rFonts w:cs="Arial"/>
              </w:rPr>
            </w:pPr>
            <w:r w:rsidRPr="00771904">
              <w:rPr>
                <w:rFonts w:cs="Arial"/>
              </w:rPr>
              <w:t>1958</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rPr>
                <w:rFonts w:cs="Arial"/>
              </w:rPr>
            </w:pPr>
            <w:r w:rsidRPr="00771904">
              <w:rPr>
                <w:rFonts w:cs="Arial"/>
              </w:rPr>
              <w:t>2/1/2013</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rPr>
                <w:rFonts w:cs="Arial"/>
              </w:rPr>
            </w:pPr>
            <w:r w:rsidRPr="00771904">
              <w:rPr>
                <w:rFonts w:cs="Arial"/>
              </w:rPr>
              <w:t>1212</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rPr>
                <w:rFonts w:cs="Arial"/>
              </w:rPr>
            </w:pPr>
            <w:r w:rsidRPr="00771904">
              <w:rPr>
                <w:rFonts w:cs="Arial"/>
              </w:rPr>
              <w:t>10/1/2013</w:t>
            </w:r>
          </w:p>
        </w:tc>
      </w:tr>
      <w:tr w:rsidR="00490E30" w:rsidRPr="00771904" w:rsidTr="00490E30">
        <w:trPr>
          <w:trHeight w:val="80"/>
        </w:trPr>
        <w:tc>
          <w:tcPr>
            <w:tcW w:w="3262" w:type="dxa"/>
            <w:tcBorders>
              <w:top w:val="nil"/>
              <w:left w:val="single" w:sz="4" w:space="0" w:color="auto"/>
              <w:bottom w:val="single" w:sz="4" w:space="0" w:color="auto"/>
              <w:right w:val="single" w:sz="4" w:space="0" w:color="auto"/>
            </w:tcBorders>
            <w:shd w:val="clear" w:color="auto" w:fill="D9D9D9"/>
            <w:noWrap/>
            <w:vAlign w:val="center"/>
            <w:hideMark/>
          </w:tcPr>
          <w:p w:rsidR="00490E30" w:rsidRPr="00771904" w:rsidRDefault="00490E30" w:rsidP="00EE47F6">
            <w:pPr>
              <w:rPr>
                <w:rFonts w:cs="Arial"/>
                <w:b/>
                <w:bCs/>
                <w:color w:val="000000"/>
                <w:sz w:val="6"/>
                <w:szCs w:val="6"/>
              </w:rPr>
            </w:pPr>
            <w:r w:rsidRPr="00771904">
              <w:rPr>
                <w:rFonts w:cs="Arial"/>
                <w:b/>
                <w:bCs/>
                <w:color w:val="000000"/>
                <w:sz w:val="6"/>
                <w:szCs w:val="6"/>
              </w:rPr>
              <w:t> </w:t>
            </w:r>
          </w:p>
        </w:tc>
        <w:tc>
          <w:tcPr>
            <w:tcW w:w="720" w:type="dxa"/>
            <w:tcBorders>
              <w:top w:val="nil"/>
              <w:left w:val="nil"/>
              <w:bottom w:val="single" w:sz="4" w:space="0" w:color="auto"/>
              <w:right w:val="single" w:sz="4" w:space="0" w:color="auto"/>
            </w:tcBorders>
            <w:shd w:val="clear" w:color="auto" w:fill="D9D9D9"/>
            <w:noWrap/>
            <w:hideMark/>
          </w:tcPr>
          <w:p w:rsidR="00490E30" w:rsidRPr="00771904" w:rsidRDefault="00490E30" w:rsidP="00DE6D00">
            <w:pPr>
              <w:rPr>
                <w:rFonts w:cs="Arial"/>
                <w:sz w:val="6"/>
                <w:szCs w:val="6"/>
              </w:rPr>
            </w:pPr>
          </w:p>
        </w:tc>
        <w:tc>
          <w:tcPr>
            <w:tcW w:w="1445" w:type="dxa"/>
            <w:tcBorders>
              <w:top w:val="nil"/>
              <w:left w:val="nil"/>
              <w:bottom w:val="single" w:sz="4" w:space="0" w:color="auto"/>
              <w:right w:val="single" w:sz="4" w:space="0" w:color="auto"/>
            </w:tcBorders>
            <w:shd w:val="clear" w:color="auto" w:fill="D9D9D9"/>
            <w:noWrap/>
            <w:hideMark/>
          </w:tcPr>
          <w:p w:rsidR="00490E30" w:rsidRPr="00771904" w:rsidRDefault="00490E30" w:rsidP="00DE6D00">
            <w:pPr>
              <w:rPr>
                <w:rFonts w:cs="Arial"/>
                <w:sz w:val="6"/>
                <w:szCs w:val="6"/>
              </w:rPr>
            </w:pPr>
          </w:p>
        </w:tc>
        <w:tc>
          <w:tcPr>
            <w:tcW w:w="720" w:type="dxa"/>
            <w:tcBorders>
              <w:top w:val="nil"/>
              <w:left w:val="nil"/>
              <w:bottom w:val="single" w:sz="4" w:space="0" w:color="auto"/>
              <w:right w:val="single" w:sz="4" w:space="0" w:color="auto"/>
            </w:tcBorders>
            <w:shd w:val="clear" w:color="auto" w:fill="D9D9D9"/>
            <w:noWrap/>
            <w:hideMark/>
          </w:tcPr>
          <w:p w:rsidR="00490E30" w:rsidRPr="00771904" w:rsidRDefault="00490E30" w:rsidP="00DE6D00">
            <w:pPr>
              <w:rPr>
                <w:rFonts w:cs="Arial"/>
                <w:sz w:val="6"/>
                <w:szCs w:val="6"/>
              </w:rPr>
            </w:pPr>
          </w:p>
        </w:tc>
        <w:tc>
          <w:tcPr>
            <w:tcW w:w="1352" w:type="dxa"/>
            <w:tcBorders>
              <w:top w:val="nil"/>
              <w:left w:val="nil"/>
              <w:bottom w:val="single" w:sz="4" w:space="0" w:color="auto"/>
              <w:right w:val="single" w:sz="4" w:space="0" w:color="auto"/>
            </w:tcBorders>
            <w:shd w:val="clear" w:color="auto" w:fill="D9D9D9"/>
            <w:noWrap/>
            <w:hideMark/>
          </w:tcPr>
          <w:p w:rsidR="00490E30" w:rsidRPr="00771904" w:rsidRDefault="00490E30" w:rsidP="00DE6D00">
            <w:pPr>
              <w:rPr>
                <w:rFonts w:cs="Arial"/>
                <w:sz w:val="6"/>
                <w:szCs w:val="6"/>
              </w:rPr>
            </w:pPr>
          </w:p>
        </w:tc>
        <w:tc>
          <w:tcPr>
            <w:tcW w:w="796" w:type="dxa"/>
            <w:tcBorders>
              <w:top w:val="nil"/>
              <w:left w:val="nil"/>
              <w:bottom w:val="single" w:sz="4" w:space="0" w:color="auto"/>
              <w:right w:val="single" w:sz="4" w:space="0" w:color="auto"/>
            </w:tcBorders>
            <w:shd w:val="clear" w:color="auto" w:fill="D9D9D9"/>
            <w:noWrap/>
            <w:hideMark/>
          </w:tcPr>
          <w:p w:rsidR="00490E30" w:rsidRPr="00771904" w:rsidRDefault="00490E30" w:rsidP="00DE6D00">
            <w:pPr>
              <w:rPr>
                <w:rFonts w:cs="Arial"/>
                <w:sz w:val="6"/>
                <w:szCs w:val="6"/>
              </w:rPr>
            </w:pPr>
          </w:p>
        </w:tc>
        <w:tc>
          <w:tcPr>
            <w:tcW w:w="1357" w:type="dxa"/>
            <w:tcBorders>
              <w:top w:val="nil"/>
              <w:left w:val="nil"/>
              <w:bottom w:val="single" w:sz="4" w:space="0" w:color="auto"/>
              <w:right w:val="single" w:sz="4" w:space="0" w:color="auto"/>
            </w:tcBorders>
            <w:shd w:val="clear" w:color="auto" w:fill="D9D9D9"/>
            <w:noWrap/>
            <w:hideMark/>
          </w:tcPr>
          <w:p w:rsidR="00490E30" w:rsidRPr="00771904" w:rsidRDefault="00490E30" w:rsidP="00DE6D00">
            <w:pPr>
              <w:rPr>
                <w:rFonts w:cs="Arial"/>
                <w:sz w:val="6"/>
                <w:szCs w:val="6"/>
              </w:rPr>
            </w:pP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vAlign w:val="center"/>
            <w:hideMark/>
          </w:tcPr>
          <w:p w:rsidR="00490E30" w:rsidRPr="00771904" w:rsidRDefault="00490E30" w:rsidP="00EE47F6">
            <w:pPr>
              <w:rPr>
                <w:rFonts w:cs="Arial"/>
                <w:b/>
                <w:bCs/>
                <w:color w:val="000000"/>
                <w:szCs w:val="22"/>
              </w:rPr>
            </w:pPr>
            <w:r w:rsidRPr="00771904">
              <w:rPr>
                <w:rFonts w:cs="Arial"/>
                <w:b/>
                <w:bCs/>
                <w:color w:val="000000"/>
                <w:szCs w:val="22"/>
              </w:rPr>
              <w:t>1.   Hispanic/Latino</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1300</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29%</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598</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31%</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362</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30%</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vAlign w:val="center"/>
            <w:hideMark/>
          </w:tcPr>
          <w:p w:rsidR="00490E30" w:rsidRPr="00771904" w:rsidRDefault="00490E30" w:rsidP="00EE47F6">
            <w:pPr>
              <w:ind w:left="357" w:hanging="357"/>
              <w:rPr>
                <w:rFonts w:cs="Arial"/>
                <w:b/>
                <w:bCs/>
                <w:color w:val="000000"/>
                <w:szCs w:val="22"/>
              </w:rPr>
            </w:pPr>
            <w:r w:rsidRPr="00771904">
              <w:rPr>
                <w:rFonts w:cs="Arial"/>
                <w:b/>
                <w:bCs/>
                <w:color w:val="000000"/>
                <w:szCs w:val="22"/>
              </w:rPr>
              <w:t>2.   American Indian Or Alaska Native</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9</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C52642" w:rsidP="00490E30">
            <w:pPr>
              <w:jc w:val="center"/>
              <w:rPr>
                <w:rFonts w:cs="Arial"/>
              </w:rPr>
            </w:pPr>
            <w:r w:rsidRPr="00771904">
              <w:rPr>
                <w:rFonts w:cs="Arial"/>
              </w:rPr>
              <w:t>&lt;1%</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3</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C52642" w:rsidP="00490E30">
            <w:pPr>
              <w:jc w:val="center"/>
              <w:rPr>
                <w:rFonts w:cs="Arial"/>
              </w:rPr>
            </w:pPr>
            <w:r w:rsidRPr="00771904">
              <w:rPr>
                <w:rFonts w:cs="Arial"/>
              </w:rPr>
              <w:t>&lt;1%</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C52642" w:rsidP="00490E30">
            <w:pPr>
              <w:jc w:val="center"/>
              <w:rPr>
                <w:rFonts w:cs="Arial"/>
              </w:rPr>
            </w:pPr>
            <w:r w:rsidRPr="00771904">
              <w:rPr>
                <w:rFonts w:cs="Arial"/>
              </w:rPr>
              <w:t>&lt;1%</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vAlign w:val="center"/>
            <w:hideMark/>
          </w:tcPr>
          <w:p w:rsidR="00490E30" w:rsidRPr="00771904" w:rsidRDefault="00490E30" w:rsidP="00EE47F6">
            <w:pPr>
              <w:rPr>
                <w:rFonts w:cs="Arial"/>
                <w:b/>
                <w:bCs/>
                <w:color w:val="000000"/>
                <w:szCs w:val="22"/>
              </w:rPr>
            </w:pPr>
            <w:r w:rsidRPr="00771904">
              <w:rPr>
                <w:rFonts w:cs="Arial"/>
                <w:b/>
                <w:bCs/>
                <w:color w:val="000000"/>
                <w:szCs w:val="22"/>
              </w:rPr>
              <w:t>3.   Asian</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130</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3%</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43</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28</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vAlign w:val="center"/>
            <w:hideMark/>
          </w:tcPr>
          <w:p w:rsidR="00490E30" w:rsidRPr="00771904" w:rsidRDefault="00490E30" w:rsidP="00EE47F6">
            <w:pPr>
              <w:ind w:left="357" w:hanging="357"/>
              <w:rPr>
                <w:rFonts w:cs="Arial"/>
                <w:b/>
                <w:bCs/>
                <w:color w:val="000000"/>
                <w:szCs w:val="22"/>
              </w:rPr>
            </w:pPr>
            <w:r w:rsidRPr="00771904">
              <w:rPr>
                <w:rFonts w:cs="Arial"/>
                <w:b/>
                <w:bCs/>
                <w:color w:val="000000"/>
                <w:szCs w:val="22"/>
              </w:rPr>
              <w:t>4.   Black Or African American</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471</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11%</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218</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11%</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136</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11%</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vAlign w:val="center"/>
            <w:hideMark/>
          </w:tcPr>
          <w:p w:rsidR="00490E30" w:rsidRPr="00771904" w:rsidRDefault="00490E30" w:rsidP="00EE47F6">
            <w:pPr>
              <w:ind w:left="357" w:hanging="357"/>
              <w:rPr>
                <w:rFonts w:cs="Arial"/>
                <w:b/>
                <w:bCs/>
                <w:color w:val="000000"/>
                <w:szCs w:val="22"/>
              </w:rPr>
            </w:pPr>
            <w:r w:rsidRPr="00771904">
              <w:rPr>
                <w:rFonts w:cs="Arial"/>
                <w:b/>
                <w:bCs/>
                <w:color w:val="000000"/>
                <w:szCs w:val="22"/>
              </w:rPr>
              <w:t>5.   Native Hawaiian Or Other Pacific Islander</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23</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8</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C52642" w:rsidP="00490E30">
            <w:pPr>
              <w:jc w:val="center"/>
              <w:rPr>
                <w:rFonts w:cs="Arial"/>
              </w:rPr>
            </w:pPr>
            <w:r w:rsidRPr="00771904">
              <w:rPr>
                <w:rFonts w:cs="Arial"/>
              </w:rPr>
              <w:t>&lt;1%</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5</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C52642" w:rsidP="00490E30">
            <w:pPr>
              <w:jc w:val="center"/>
              <w:rPr>
                <w:rFonts w:cs="Arial"/>
              </w:rPr>
            </w:pPr>
            <w:r w:rsidRPr="00771904">
              <w:rPr>
                <w:rFonts w:cs="Arial"/>
              </w:rPr>
              <w:t>&lt;1%</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vAlign w:val="center"/>
            <w:hideMark/>
          </w:tcPr>
          <w:p w:rsidR="00490E30" w:rsidRPr="00771904" w:rsidRDefault="00490E30" w:rsidP="00EE47F6">
            <w:pPr>
              <w:rPr>
                <w:rFonts w:cs="Arial"/>
                <w:b/>
                <w:bCs/>
                <w:color w:val="000000"/>
                <w:szCs w:val="22"/>
              </w:rPr>
            </w:pPr>
            <w:r w:rsidRPr="00771904">
              <w:rPr>
                <w:rFonts w:cs="Arial"/>
                <w:b/>
                <w:bCs/>
                <w:color w:val="000000"/>
                <w:szCs w:val="22"/>
              </w:rPr>
              <w:t>6.   White</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2381</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54%</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1045</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53%</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657</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54%</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vAlign w:val="center"/>
            <w:hideMark/>
          </w:tcPr>
          <w:p w:rsidR="00490E30" w:rsidRPr="00771904" w:rsidRDefault="00490E30" w:rsidP="00EE47F6">
            <w:pPr>
              <w:rPr>
                <w:rFonts w:cs="Arial"/>
                <w:b/>
                <w:bCs/>
                <w:color w:val="000000"/>
                <w:szCs w:val="22"/>
              </w:rPr>
            </w:pPr>
            <w:r w:rsidRPr="00771904">
              <w:rPr>
                <w:rFonts w:cs="Arial"/>
                <w:b/>
                <w:bCs/>
                <w:color w:val="000000"/>
                <w:szCs w:val="22"/>
              </w:rPr>
              <w:t>7.   Two Or More Races</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96</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43</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23</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w:t>
            </w:r>
          </w:p>
        </w:tc>
      </w:tr>
      <w:tr w:rsidR="00490E30" w:rsidRPr="00771904" w:rsidTr="00490E30">
        <w:trPr>
          <w:trHeight w:val="134"/>
        </w:trPr>
        <w:tc>
          <w:tcPr>
            <w:tcW w:w="3262" w:type="dxa"/>
            <w:tcBorders>
              <w:top w:val="nil"/>
              <w:left w:val="single" w:sz="4" w:space="0" w:color="auto"/>
              <w:bottom w:val="single" w:sz="4" w:space="0" w:color="auto"/>
              <w:right w:val="single" w:sz="4" w:space="0" w:color="auto"/>
            </w:tcBorders>
            <w:shd w:val="clear" w:color="auto" w:fill="D9D9D9"/>
            <w:noWrap/>
            <w:vAlign w:val="center"/>
            <w:hideMark/>
          </w:tcPr>
          <w:p w:rsidR="00490E30" w:rsidRPr="00771904" w:rsidRDefault="00490E30" w:rsidP="00EE47F6">
            <w:pPr>
              <w:rPr>
                <w:rFonts w:cs="Arial"/>
                <w:b/>
                <w:bCs/>
                <w:color w:val="000000"/>
                <w:sz w:val="6"/>
                <w:szCs w:val="6"/>
              </w:rPr>
            </w:pPr>
          </w:p>
        </w:tc>
        <w:tc>
          <w:tcPr>
            <w:tcW w:w="720" w:type="dxa"/>
            <w:tcBorders>
              <w:top w:val="nil"/>
              <w:left w:val="nil"/>
              <w:bottom w:val="single" w:sz="4" w:space="0" w:color="auto"/>
              <w:right w:val="single" w:sz="4" w:space="0" w:color="auto"/>
            </w:tcBorders>
            <w:shd w:val="clear" w:color="auto" w:fill="D9D9D9"/>
            <w:noWrap/>
            <w:hideMark/>
          </w:tcPr>
          <w:p w:rsidR="00490E30" w:rsidRPr="00771904" w:rsidRDefault="00490E30" w:rsidP="00490E30">
            <w:pPr>
              <w:jc w:val="center"/>
              <w:rPr>
                <w:rFonts w:cs="Arial"/>
                <w:sz w:val="6"/>
                <w:szCs w:val="6"/>
              </w:rPr>
            </w:pPr>
          </w:p>
        </w:tc>
        <w:tc>
          <w:tcPr>
            <w:tcW w:w="1445" w:type="dxa"/>
            <w:tcBorders>
              <w:top w:val="nil"/>
              <w:left w:val="nil"/>
              <w:bottom w:val="single" w:sz="4" w:space="0" w:color="auto"/>
              <w:right w:val="single" w:sz="4" w:space="0" w:color="auto"/>
            </w:tcBorders>
            <w:shd w:val="clear" w:color="auto" w:fill="D9D9D9"/>
            <w:noWrap/>
            <w:hideMark/>
          </w:tcPr>
          <w:p w:rsidR="00490E30" w:rsidRPr="00771904" w:rsidRDefault="00490E30" w:rsidP="00490E30">
            <w:pPr>
              <w:jc w:val="center"/>
              <w:rPr>
                <w:rFonts w:cs="Arial"/>
                <w:sz w:val="6"/>
                <w:szCs w:val="6"/>
              </w:rPr>
            </w:pPr>
          </w:p>
        </w:tc>
        <w:tc>
          <w:tcPr>
            <w:tcW w:w="720" w:type="dxa"/>
            <w:tcBorders>
              <w:top w:val="nil"/>
              <w:left w:val="nil"/>
              <w:bottom w:val="single" w:sz="4" w:space="0" w:color="auto"/>
              <w:right w:val="single" w:sz="4" w:space="0" w:color="auto"/>
            </w:tcBorders>
            <w:shd w:val="clear" w:color="auto" w:fill="D9D9D9"/>
            <w:noWrap/>
            <w:hideMark/>
          </w:tcPr>
          <w:p w:rsidR="00490E30" w:rsidRPr="00771904" w:rsidRDefault="00490E30" w:rsidP="00490E30">
            <w:pPr>
              <w:jc w:val="center"/>
              <w:rPr>
                <w:rFonts w:cs="Arial"/>
                <w:sz w:val="6"/>
                <w:szCs w:val="6"/>
              </w:rPr>
            </w:pPr>
          </w:p>
        </w:tc>
        <w:tc>
          <w:tcPr>
            <w:tcW w:w="1352" w:type="dxa"/>
            <w:tcBorders>
              <w:top w:val="nil"/>
              <w:left w:val="nil"/>
              <w:bottom w:val="single" w:sz="4" w:space="0" w:color="auto"/>
              <w:right w:val="single" w:sz="4" w:space="0" w:color="auto"/>
            </w:tcBorders>
            <w:shd w:val="clear" w:color="auto" w:fill="D9D9D9"/>
            <w:noWrap/>
            <w:hideMark/>
          </w:tcPr>
          <w:p w:rsidR="00490E30" w:rsidRPr="00771904" w:rsidRDefault="00490E30" w:rsidP="00490E30">
            <w:pPr>
              <w:jc w:val="center"/>
              <w:rPr>
                <w:rFonts w:cs="Arial"/>
                <w:sz w:val="6"/>
                <w:szCs w:val="6"/>
              </w:rPr>
            </w:pPr>
          </w:p>
        </w:tc>
        <w:tc>
          <w:tcPr>
            <w:tcW w:w="796" w:type="dxa"/>
            <w:tcBorders>
              <w:top w:val="nil"/>
              <w:left w:val="nil"/>
              <w:bottom w:val="single" w:sz="4" w:space="0" w:color="auto"/>
              <w:right w:val="single" w:sz="4" w:space="0" w:color="auto"/>
            </w:tcBorders>
            <w:shd w:val="clear" w:color="auto" w:fill="D9D9D9"/>
            <w:noWrap/>
            <w:hideMark/>
          </w:tcPr>
          <w:p w:rsidR="00490E30" w:rsidRPr="00771904" w:rsidRDefault="00490E30" w:rsidP="00490E30">
            <w:pPr>
              <w:jc w:val="center"/>
              <w:rPr>
                <w:rFonts w:cs="Arial"/>
                <w:sz w:val="6"/>
                <w:szCs w:val="6"/>
              </w:rPr>
            </w:pPr>
          </w:p>
        </w:tc>
        <w:tc>
          <w:tcPr>
            <w:tcW w:w="1357" w:type="dxa"/>
            <w:tcBorders>
              <w:top w:val="nil"/>
              <w:left w:val="nil"/>
              <w:bottom w:val="single" w:sz="4" w:space="0" w:color="auto"/>
              <w:right w:val="single" w:sz="4" w:space="0" w:color="auto"/>
            </w:tcBorders>
            <w:shd w:val="clear" w:color="auto" w:fill="D9D9D9"/>
            <w:noWrap/>
            <w:hideMark/>
          </w:tcPr>
          <w:p w:rsidR="00490E30" w:rsidRPr="00771904" w:rsidRDefault="00490E30" w:rsidP="00490E30">
            <w:pPr>
              <w:jc w:val="center"/>
              <w:rPr>
                <w:rFonts w:cs="Arial"/>
                <w:sz w:val="6"/>
                <w:szCs w:val="6"/>
              </w:rPr>
            </w:pP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490E30" w:rsidRPr="00771904" w:rsidRDefault="00490E30" w:rsidP="00EE47F6">
            <w:pPr>
              <w:rPr>
                <w:rFonts w:cs="Arial"/>
                <w:b/>
                <w:bCs/>
                <w:color w:val="000000"/>
                <w:szCs w:val="22"/>
              </w:rPr>
            </w:pPr>
            <w:r w:rsidRPr="00771904">
              <w:rPr>
                <w:rFonts w:cs="Arial"/>
                <w:b/>
                <w:bCs/>
                <w:color w:val="000000"/>
                <w:szCs w:val="22"/>
              </w:rPr>
              <w:t>Boys</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2919</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66%</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1279</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65%</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807</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67%</w:t>
            </w:r>
          </w:p>
        </w:tc>
      </w:tr>
      <w:tr w:rsidR="00490E30" w:rsidRPr="00771904" w:rsidTr="00490E30">
        <w:trPr>
          <w:trHeight w:val="3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490E30" w:rsidRPr="00771904" w:rsidRDefault="00490E30" w:rsidP="00EE47F6">
            <w:pPr>
              <w:rPr>
                <w:rFonts w:cs="Arial"/>
                <w:b/>
                <w:bCs/>
                <w:color w:val="000000"/>
                <w:szCs w:val="22"/>
              </w:rPr>
            </w:pPr>
            <w:r w:rsidRPr="00771904">
              <w:rPr>
                <w:rFonts w:cs="Arial"/>
                <w:b/>
                <w:bCs/>
                <w:color w:val="000000"/>
                <w:szCs w:val="22"/>
              </w:rPr>
              <w:t>Girls</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1491</w:t>
            </w:r>
          </w:p>
        </w:tc>
        <w:tc>
          <w:tcPr>
            <w:tcW w:w="1445"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34%</w:t>
            </w:r>
          </w:p>
        </w:tc>
        <w:tc>
          <w:tcPr>
            <w:tcW w:w="720"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jc w:val="center"/>
              <w:rPr>
                <w:rFonts w:cs="Arial"/>
              </w:rPr>
            </w:pPr>
            <w:r w:rsidRPr="00771904">
              <w:rPr>
                <w:rFonts w:cs="Arial"/>
              </w:rPr>
              <w:t>679</w:t>
            </w:r>
          </w:p>
        </w:tc>
        <w:tc>
          <w:tcPr>
            <w:tcW w:w="1352" w:type="dxa"/>
            <w:tcBorders>
              <w:top w:val="nil"/>
              <w:left w:val="nil"/>
              <w:bottom w:val="single" w:sz="4" w:space="0" w:color="auto"/>
              <w:right w:val="single" w:sz="4" w:space="0" w:color="auto"/>
            </w:tcBorders>
            <w:shd w:val="clear" w:color="auto" w:fill="auto"/>
            <w:noWrap/>
            <w:hideMark/>
          </w:tcPr>
          <w:p w:rsidR="00490E30" w:rsidRPr="00771904" w:rsidRDefault="00490E30" w:rsidP="00DE6D00">
            <w:pPr>
              <w:jc w:val="center"/>
              <w:rPr>
                <w:rFonts w:cs="Arial"/>
              </w:rPr>
            </w:pPr>
            <w:r w:rsidRPr="00771904">
              <w:rPr>
                <w:rFonts w:cs="Arial"/>
              </w:rPr>
              <w:t>35%</w:t>
            </w:r>
          </w:p>
        </w:tc>
        <w:tc>
          <w:tcPr>
            <w:tcW w:w="796"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405</w:t>
            </w:r>
          </w:p>
        </w:tc>
        <w:tc>
          <w:tcPr>
            <w:tcW w:w="1357" w:type="dxa"/>
            <w:tcBorders>
              <w:top w:val="nil"/>
              <w:left w:val="nil"/>
              <w:bottom w:val="single" w:sz="4" w:space="0" w:color="auto"/>
              <w:right w:val="single" w:sz="4" w:space="0" w:color="auto"/>
            </w:tcBorders>
            <w:shd w:val="clear" w:color="auto" w:fill="auto"/>
            <w:noWrap/>
            <w:hideMark/>
          </w:tcPr>
          <w:p w:rsidR="00490E30" w:rsidRPr="00771904" w:rsidRDefault="00490E30" w:rsidP="00490E30">
            <w:pPr>
              <w:jc w:val="center"/>
              <w:rPr>
                <w:rFonts w:cs="Arial"/>
              </w:rPr>
            </w:pPr>
            <w:r w:rsidRPr="00771904">
              <w:rPr>
                <w:rFonts w:cs="Arial"/>
              </w:rPr>
              <w:t>33%</w:t>
            </w:r>
          </w:p>
        </w:tc>
      </w:tr>
    </w:tbl>
    <w:p w:rsidR="00BE35C2" w:rsidRPr="00771904" w:rsidRDefault="00BE35C2" w:rsidP="00BE35C2">
      <w:pPr>
        <w:rPr>
          <w:rFonts w:cs="Arial"/>
          <w:b/>
        </w:rPr>
      </w:pPr>
    </w:p>
    <w:p w:rsidR="00844F6D" w:rsidRPr="00771904" w:rsidRDefault="00844F6D" w:rsidP="00BE35C2">
      <w:pPr>
        <w:rPr>
          <w:rFonts w:cs="Arial"/>
          <w:b/>
        </w:rPr>
      </w:pPr>
      <w:r w:rsidRPr="00771904">
        <w:rPr>
          <w:rFonts w:cs="Arial"/>
          <w:b/>
        </w:rPr>
        <w:t xml:space="preserve">Discussion of Improvement Activities Completed </w:t>
      </w:r>
      <w:r w:rsidRPr="00771904">
        <w:rPr>
          <w:rFonts w:cs="Arial"/>
          <w:b/>
          <w:u w:val="single"/>
        </w:rPr>
        <w:t>and</w:t>
      </w:r>
      <w:r w:rsidRPr="00771904">
        <w:rPr>
          <w:rFonts w:cs="Arial"/>
          <w:b/>
        </w:rPr>
        <w:t xml:space="preserve"> Explanation of Progress or Slippage that occurred for </w:t>
      </w:r>
      <w:r w:rsidR="00C02A8F" w:rsidRPr="00771904">
        <w:rPr>
          <w:rFonts w:cs="Arial"/>
          <w:b/>
        </w:rPr>
        <w:t xml:space="preserve">FFY 2012 </w:t>
      </w:r>
      <w:r w:rsidR="00C02A8F" w:rsidRPr="00771904">
        <w:rPr>
          <w:rFonts w:cs="Arial"/>
          <w:b/>
          <w:color w:val="000000"/>
          <w:szCs w:val="22"/>
        </w:rPr>
        <w:t>(July 1, 2012-June 30, 2013)</w:t>
      </w:r>
      <w:r w:rsidRPr="00771904">
        <w:rPr>
          <w:rFonts w:cs="Arial"/>
          <w:b/>
        </w:rPr>
        <w:t>:</w:t>
      </w:r>
    </w:p>
    <w:p w:rsidR="00BE35C2" w:rsidRPr="00771904" w:rsidRDefault="00BE35C2" w:rsidP="00BE35C2">
      <w:pPr>
        <w:rPr>
          <w:rFonts w:cs="Arial"/>
          <w:szCs w:val="22"/>
        </w:rPr>
      </w:pPr>
    </w:p>
    <w:p w:rsidR="00482C9D" w:rsidRPr="00771904" w:rsidRDefault="00E41140" w:rsidP="00BE35C2">
      <w:pPr>
        <w:rPr>
          <w:rFonts w:cs="Arial"/>
          <w:szCs w:val="22"/>
        </w:rPr>
      </w:pPr>
      <w:r w:rsidRPr="00771904">
        <w:rPr>
          <w:rFonts w:cs="Arial"/>
          <w:szCs w:val="22"/>
        </w:rPr>
        <w:t xml:space="preserve">Pursuant to OSEP Memo </w:t>
      </w:r>
      <w:r w:rsidR="009C1E7C" w:rsidRPr="00771904">
        <w:rPr>
          <w:rFonts w:cs="Arial"/>
          <w:szCs w:val="22"/>
        </w:rPr>
        <w:t>14-3</w:t>
      </w:r>
      <w:r w:rsidRPr="00771904">
        <w:rPr>
          <w:rFonts w:cs="Arial"/>
          <w:szCs w:val="22"/>
        </w:rPr>
        <w:t>, Connecticut is not required to report on progress/slippage or improvement activities</w:t>
      </w:r>
      <w:r w:rsidR="009C0999" w:rsidRPr="00771904">
        <w:rPr>
          <w:rFonts w:cs="Arial"/>
          <w:szCs w:val="22"/>
        </w:rPr>
        <w:t xml:space="preserve"> for this Indicator</w:t>
      </w:r>
      <w:r w:rsidRPr="00771904">
        <w:rPr>
          <w:rFonts w:cs="Arial"/>
          <w:szCs w:val="22"/>
        </w:rPr>
        <w:t xml:space="preserve"> because </w:t>
      </w:r>
      <w:r w:rsidR="00192829" w:rsidRPr="00771904">
        <w:rPr>
          <w:rFonts w:cs="Arial"/>
          <w:szCs w:val="22"/>
        </w:rPr>
        <w:t>the State</w:t>
      </w:r>
      <w:r w:rsidRPr="00771904">
        <w:rPr>
          <w:rFonts w:cs="Arial"/>
          <w:szCs w:val="22"/>
        </w:rPr>
        <w:t xml:space="preserve"> has met its targets.</w:t>
      </w:r>
      <w:r w:rsidR="00602EE8" w:rsidRPr="00771904">
        <w:rPr>
          <w:rFonts w:cs="Arial"/>
          <w:szCs w:val="22"/>
        </w:rPr>
        <w:t xml:space="preserve"> </w:t>
      </w:r>
    </w:p>
    <w:p w:rsidR="00482C9D" w:rsidRPr="00771904" w:rsidRDefault="00482C9D" w:rsidP="00BE35C2">
      <w:pPr>
        <w:rPr>
          <w:rFonts w:cs="Arial"/>
          <w:szCs w:val="22"/>
        </w:rPr>
      </w:pPr>
      <w:r w:rsidRPr="00771904">
        <w:rPr>
          <w:rFonts w:cs="Arial"/>
          <w:noProof/>
        </w:rPr>
        <w:drawing>
          <wp:inline distT="0" distB="0" distL="0" distR="0" wp14:anchorId="1A7CFFA9" wp14:editId="4868C080">
            <wp:extent cx="5866544" cy="1767155"/>
            <wp:effectExtent l="0" t="0" r="2032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2C9D" w:rsidRPr="00771904" w:rsidRDefault="00482C9D" w:rsidP="00BE35C2">
      <w:pPr>
        <w:rPr>
          <w:rFonts w:cs="Arial"/>
          <w:szCs w:val="22"/>
        </w:rPr>
      </w:pPr>
      <w:r w:rsidRPr="00771904">
        <w:rPr>
          <w:rFonts w:cs="Arial"/>
          <w:szCs w:val="22"/>
        </w:rPr>
        <w:t>Child and family outcomes has been the Part C Focused Monitoring Priority Area since 2011.</w:t>
      </w:r>
    </w:p>
    <w:p w:rsidR="00BE35C2" w:rsidRPr="00771904" w:rsidRDefault="00BE35C2" w:rsidP="00BE35C2">
      <w:pPr>
        <w:rPr>
          <w:rFonts w:cs="Arial"/>
          <w:b/>
        </w:rPr>
      </w:pPr>
    </w:p>
    <w:p w:rsidR="00844F6D" w:rsidRPr="00771904" w:rsidRDefault="00844F6D" w:rsidP="00BE35C2">
      <w:pPr>
        <w:rPr>
          <w:rFonts w:cs="Arial"/>
          <w:b/>
        </w:rPr>
      </w:pPr>
      <w:r w:rsidRPr="00771904">
        <w:rPr>
          <w:rFonts w:cs="Arial"/>
          <w:b/>
        </w:rPr>
        <w:t xml:space="preserve">Revisions, </w:t>
      </w:r>
      <w:r w:rsidRPr="00771904">
        <w:rPr>
          <w:rFonts w:cs="Arial"/>
          <w:b/>
          <w:u w:val="single"/>
        </w:rPr>
        <w:t>with Justification</w:t>
      </w:r>
      <w:r w:rsidRPr="00771904">
        <w:rPr>
          <w:rFonts w:cs="Arial"/>
          <w:b/>
        </w:rPr>
        <w:t xml:space="preserve">, to Proposed Targets / Improvement Activities / Timelines / Resources for </w:t>
      </w:r>
      <w:proofErr w:type="gramStart"/>
      <w:r w:rsidR="005B1B42" w:rsidRPr="00771904">
        <w:rPr>
          <w:rFonts w:cs="Arial"/>
          <w:b/>
          <w:szCs w:val="22"/>
        </w:rPr>
        <w:t>FFY12</w:t>
      </w:r>
      <w:r w:rsidR="00C02A8F" w:rsidRPr="00771904">
        <w:rPr>
          <w:rFonts w:cs="Arial"/>
          <w:b/>
          <w:szCs w:val="22"/>
        </w:rPr>
        <w:t xml:space="preserve"> </w:t>
      </w:r>
      <w:r w:rsidR="005B1B42" w:rsidRPr="00771904">
        <w:rPr>
          <w:rFonts w:cs="Arial"/>
          <w:b/>
          <w:szCs w:val="22"/>
        </w:rPr>
        <w:t xml:space="preserve"> </w:t>
      </w:r>
      <w:r w:rsidRPr="00771904">
        <w:rPr>
          <w:rFonts w:cs="Arial"/>
          <w:i/>
        </w:rPr>
        <w:t>[</w:t>
      </w:r>
      <w:proofErr w:type="gramEnd"/>
      <w:r w:rsidRPr="00771904">
        <w:rPr>
          <w:rFonts w:cs="Arial"/>
          <w:i/>
        </w:rPr>
        <w:t>If applicable]</w:t>
      </w:r>
    </w:p>
    <w:p w:rsidR="006E74E4" w:rsidRPr="00771904" w:rsidRDefault="009A7E7F" w:rsidP="00482C9D">
      <w:pPr>
        <w:pStyle w:val="BodyText2"/>
        <w:rPr>
          <w:sz w:val="22"/>
          <w:szCs w:val="22"/>
        </w:rPr>
      </w:pPr>
      <w:r w:rsidRPr="00771904">
        <w:rPr>
          <w:sz w:val="22"/>
          <w:szCs w:val="22"/>
        </w:rPr>
        <w:t>No revisions at this time</w:t>
      </w:r>
      <w:r w:rsidR="006E74E4" w:rsidRPr="00771904">
        <w:rPr>
          <w:color w:val="A6A6A6"/>
        </w:rPr>
        <w:br w:type="page"/>
      </w:r>
      <w:r w:rsidR="006E74E4" w:rsidRPr="00771904">
        <w:rPr>
          <w:b/>
          <w:sz w:val="22"/>
          <w:szCs w:val="22"/>
        </w:rPr>
        <w:lastRenderedPageBreak/>
        <w:t xml:space="preserve">Part C State Annual Performance Report (APR) for </w:t>
      </w:r>
      <w:r w:rsidR="0068780F" w:rsidRPr="00771904">
        <w:rPr>
          <w:b/>
          <w:sz w:val="22"/>
          <w:szCs w:val="22"/>
        </w:rPr>
        <w:t xml:space="preserve">Federal </w:t>
      </w:r>
      <w:r w:rsidR="00BA69E5" w:rsidRPr="00771904">
        <w:rPr>
          <w:b/>
          <w:sz w:val="22"/>
          <w:szCs w:val="22"/>
        </w:rPr>
        <w:t xml:space="preserve">Fiscal </w:t>
      </w:r>
      <w:r w:rsidR="00C71124" w:rsidRPr="00771904">
        <w:rPr>
          <w:b/>
          <w:sz w:val="22"/>
          <w:szCs w:val="22"/>
        </w:rPr>
        <w:t xml:space="preserve">Year </w:t>
      </w:r>
      <w:r w:rsidR="00976EA6" w:rsidRPr="00771904">
        <w:rPr>
          <w:b/>
          <w:sz w:val="22"/>
          <w:szCs w:val="22"/>
        </w:rPr>
        <w:t>(FFY) 201</w:t>
      </w:r>
      <w:r w:rsidR="00362A44" w:rsidRPr="00771904">
        <w:rPr>
          <w:b/>
          <w:sz w:val="22"/>
          <w:szCs w:val="22"/>
        </w:rPr>
        <w:t>2</w:t>
      </w:r>
    </w:p>
    <w:p w:rsidR="00844F6D" w:rsidRPr="00771904" w:rsidRDefault="00844F6D" w:rsidP="008F3F44">
      <w:pPr>
        <w:rPr>
          <w:rFonts w:cs="Arial"/>
          <w:b/>
          <w:iCs/>
          <w:szCs w:val="22"/>
        </w:rPr>
      </w:pPr>
    </w:p>
    <w:p w:rsidR="006E74E4" w:rsidRPr="00771904" w:rsidRDefault="006E74E4" w:rsidP="008F3F44">
      <w:pPr>
        <w:rPr>
          <w:rFonts w:cs="Arial"/>
          <w:b/>
          <w:iCs/>
          <w:szCs w:val="22"/>
        </w:rPr>
      </w:pPr>
      <w:r w:rsidRPr="00771904">
        <w:rPr>
          <w:rFonts w:cs="Arial"/>
          <w:b/>
          <w:iCs/>
          <w:szCs w:val="22"/>
        </w:rPr>
        <w:t>Overview of the Annual Performance Report Development:</w:t>
      </w:r>
    </w:p>
    <w:p w:rsidR="006E74E4" w:rsidRPr="00771904" w:rsidRDefault="006E74E4" w:rsidP="008F3F44">
      <w:pPr>
        <w:rPr>
          <w:rFonts w:cs="Arial"/>
          <w:szCs w:val="22"/>
        </w:rPr>
      </w:pPr>
      <w:r w:rsidRPr="00771904">
        <w:rPr>
          <w:rFonts w:cs="Arial"/>
          <w:szCs w:val="22"/>
        </w:rPr>
        <w:t>Same process as described in Indicator #1.</w:t>
      </w:r>
    </w:p>
    <w:p w:rsidR="008F3F44" w:rsidRPr="00771904" w:rsidRDefault="008F3F44" w:rsidP="008F3F44">
      <w:pPr>
        <w:rPr>
          <w:rFonts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E74E4" w:rsidRPr="00771904" w:rsidTr="008F3F44">
        <w:trPr>
          <w:trHeight w:val="323"/>
        </w:trPr>
        <w:tc>
          <w:tcPr>
            <w:tcW w:w="9648" w:type="dxa"/>
            <w:vAlign w:val="center"/>
          </w:tcPr>
          <w:p w:rsidR="006E74E4" w:rsidRPr="00771904" w:rsidRDefault="006E74E4" w:rsidP="008F3F44">
            <w:pPr>
              <w:rPr>
                <w:rFonts w:cs="Arial"/>
                <w:b/>
                <w:sz w:val="20"/>
                <w:szCs w:val="20"/>
              </w:rPr>
            </w:pPr>
            <w:r w:rsidRPr="00771904">
              <w:rPr>
                <w:rFonts w:cs="Arial"/>
                <w:b/>
                <w:sz w:val="20"/>
                <w:szCs w:val="20"/>
              </w:rPr>
              <w:t>Monitoring Priority:</w:t>
            </w:r>
            <w:r w:rsidRPr="00771904">
              <w:rPr>
                <w:rFonts w:cs="Arial"/>
                <w:b/>
              </w:rPr>
              <w:t xml:space="preserve"> </w:t>
            </w:r>
            <w:r w:rsidRPr="00771904">
              <w:rPr>
                <w:rFonts w:cs="Arial"/>
                <w:b/>
                <w:sz w:val="20"/>
              </w:rPr>
              <w:t>Effective General Supervision Part C / Child Find</w:t>
            </w:r>
          </w:p>
        </w:tc>
      </w:tr>
      <w:tr w:rsidR="005508F3" w:rsidRPr="00771904" w:rsidTr="008F3F44">
        <w:trPr>
          <w:trHeight w:val="323"/>
        </w:trPr>
        <w:tc>
          <w:tcPr>
            <w:tcW w:w="9648" w:type="dxa"/>
            <w:vAlign w:val="center"/>
          </w:tcPr>
          <w:p w:rsidR="005508F3" w:rsidRPr="00771904" w:rsidRDefault="005508F3" w:rsidP="005508F3">
            <w:pPr>
              <w:pStyle w:val="Header"/>
              <w:tabs>
                <w:tab w:val="clear" w:pos="4320"/>
                <w:tab w:val="clear" w:pos="8640"/>
              </w:tabs>
              <w:ind w:left="392" w:hanging="392"/>
              <w:rPr>
                <w:rFonts w:cs="Arial"/>
                <w:sz w:val="20"/>
              </w:rPr>
            </w:pPr>
            <w:r w:rsidRPr="00771904">
              <w:rPr>
                <w:rFonts w:cs="Arial"/>
                <w:b/>
                <w:sz w:val="20"/>
                <w:szCs w:val="20"/>
              </w:rPr>
              <w:t xml:space="preserve">Indicator 5: </w:t>
            </w:r>
            <w:r w:rsidRPr="00771904">
              <w:rPr>
                <w:rFonts w:cs="Arial"/>
                <w:sz w:val="20"/>
              </w:rPr>
              <w:t xml:space="preserve"> Percent of infants and toddlers birth to 1 with IFSPs compared to national data.</w:t>
            </w:r>
          </w:p>
          <w:p w:rsidR="005508F3" w:rsidRPr="00771904" w:rsidRDefault="005508F3" w:rsidP="005508F3">
            <w:pPr>
              <w:ind w:left="1440" w:hanging="1440"/>
              <w:rPr>
                <w:rFonts w:cs="Arial"/>
                <w:sz w:val="20"/>
              </w:rPr>
            </w:pPr>
            <w:r w:rsidRPr="00771904">
              <w:rPr>
                <w:rFonts w:cs="Arial"/>
                <w:sz w:val="20"/>
              </w:rPr>
              <w:t xml:space="preserve"> (20 U.S.C. 1416(a)(3)(B) and 1442)</w:t>
            </w:r>
          </w:p>
        </w:tc>
      </w:tr>
    </w:tbl>
    <w:p w:rsidR="008F3F44" w:rsidRPr="00771904" w:rsidRDefault="008F3F44" w:rsidP="008F3F44">
      <w:pPr>
        <w:rPr>
          <w:rFonts w:cs="Arial"/>
          <w:b/>
          <w:sz w:val="10"/>
          <w:szCs w:val="10"/>
        </w:rPr>
      </w:pPr>
      <w:bookmarkStart w:id="7" w:name="ind5"/>
      <w:bookmarkEnd w:id="7"/>
    </w:p>
    <w:p w:rsidR="008F3F44" w:rsidRPr="00771904" w:rsidRDefault="008F3F44" w:rsidP="008F3F44">
      <w:pPr>
        <w:rPr>
          <w:rFonts w:cs="Arial"/>
          <w:b/>
          <w:sz w:val="10"/>
          <w:szCs w:val="1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90"/>
      </w:tblGrid>
      <w:tr w:rsidR="006E74E4" w:rsidRPr="00771904" w:rsidTr="005508F3">
        <w:tc>
          <w:tcPr>
            <w:tcW w:w="9630" w:type="dxa"/>
            <w:gridSpan w:val="2"/>
          </w:tcPr>
          <w:p w:rsidR="006E74E4" w:rsidRPr="00771904" w:rsidRDefault="00651FA6">
            <w:pPr>
              <w:pStyle w:val="FootnoteText"/>
              <w:spacing w:before="60" w:after="60"/>
              <w:rPr>
                <w:rFonts w:cs="Arial"/>
              </w:rPr>
            </w:pPr>
            <w:r w:rsidRPr="00771904">
              <w:rPr>
                <w:rFonts w:cs="Arial"/>
                <w:b/>
                <w:bCs/>
              </w:rPr>
              <w:t>Measurement:</w:t>
            </w:r>
            <w:r w:rsidRPr="00771904">
              <w:rPr>
                <w:rFonts w:cs="Arial"/>
              </w:rPr>
              <w:t xml:space="preserve"> Percent = [(# of infants and toddler birth to 1 with IFSPs) divided by the (population of infants and toddlers birth to 1)] times 100 compared to national data.</w:t>
            </w:r>
          </w:p>
        </w:tc>
      </w:tr>
      <w:tr w:rsidR="006E74E4" w:rsidRPr="00771904" w:rsidTr="00634C27">
        <w:trPr>
          <w:trHeight w:val="314"/>
        </w:trPr>
        <w:tc>
          <w:tcPr>
            <w:tcW w:w="2340" w:type="dxa"/>
            <w:vAlign w:val="center"/>
          </w:tcPr>
          <w:p w:rsidR="006E74E4" w:rsidRPr="00771904" w:rsidRDefault="005B1B42" w:rsidP="00205C4E">
            <w:pPr>
              <w:jc w:val="center"/>
              <w:rPr>
                <w:rFonts w:cs="Arial"/>
                <w:b/>
                <w:sz w:val="20"/>
                <w:szCs w:val="20"/>
                <w:shd w:val="pct20" w:color="auto" w:fill="auto"/>
              </w:rPr>
            </w:pPr>
            <w:r w:rsidRPr="00771904">
              <w:rPr>
                <w:rFonts w:cs="Arial"/>
                <w:b/>
                <w:sz w:val="20"/>
                <w:szCs w:val="20"/>
              </w:rPr>
              <w:t>FFY1</w:t>
            </w:r>
            <w:r w:rsidR="006F16EB" w:rsidRPr="00771904">
              <w:rPr>
                <w:rFonts w:cs="Arial"/>
                <w:b/>
                <w:sz w:val="20"/>
                <w:szCs w:val="20"/>
              </w:rPr>
              <w:t>2</w:t>
            </w:r>
          </w:p>
        </w:tc>
        <w:tc>
          <w:tcPr>
            <w:tcW w:w="7290" w:type="dxa"/>
            <w:vAlign w:val="center"/>
          </w:tcPr>
          <w:p w:rsidR="006E74E4" w:rsidRPr="00771904" w:rsidRDefault="006E74E4" w:rsidP="00205C4E">
            <w:pPr>
              <w:jc w:val="center"/>
              <w:rPr>
                <w:rFonts w:cs="Arial"/>
                <w:b/>
                <w:sz w:val="20"/>
                <w:szCs w:val="20"/>
              </w:rPr>
            </w:pPr>
            <w:r w:rsidRPr="00771904">
              <w:rPr>
                <w:rFonts w:cs="Arial"/>
                <w:b/>
                <w:sz w:val="20"/>
                <w:szCs w:val="20"/>
              </w:rPr>
              <w:t>Measurable and Rigorous Target</w:t>
            </w:r>
          </w:p>
        </w:tc>
      </w:tr>
      <w:tr w:rsidR="006E74E4" w:rsidRPr="00771904" w:rsidTr="00634C27">
        <w:trPr>
          <w:trHeight w:val="188"/>
        </w:trPr>
        <w:tc>
          <w:tcPr>
            <w:tcW w:w="2340" w:type="dxa"/>
          </w:tcPr>
          <w:p w:rsidR="006E74E4" w:rsidRPr="00771904" w:rsidRDefault="002A6A91" w:rsidP="008F3F44">
            <w:pPr>
              <w:jc w:val="center"/>
              <w:rPr>
                <w:rFonts w:cs="Arial"/>
                <w:i/>
                <w:szCs w:val="22"/>
              </w:rPr>
            </w:pPr>
            <w:r w:rsidRPr="00771904">
              <w:rPr>
                <w:rFonts w:cs="Arial"/>
                <w:i/>
                <w:szCs w:val="22"/>
              </w:rPr>
              <w:t>7/1/12-6/30/13</w:t>
            </w:r>
          </w:p>
        </w:tc>
        <w:tc>
          <w:tcPr>
            <w:tcW w:w="7290" w:type="dxa"/>
            <w:vAlign w:val="center"/>
          </w:tcPr>
          <w:p w:rsidR="006E74E4" w:rsidRPr="00771904" w:rsidRDefault="00F628B1" w:rsidP="008F3F44">
            <w:pPr>
              <w:jc w:val="center"/>
              <w:rPr>
                <w:rFonts w:cs="Arial"/>
                <w:i/>
                <w:szCs w:val="22"/>
              </w:rPr>
            </w:pPr>
            <w:r w:rsidRPr="00771904">
              <w:rPr>
                <w:rFonts w:cs="Arial"/>
                <w:i/>
                <w:szCs w:val="22"/>
              </w:rPr>
              <w:t>1.2</w:t>
            </w:r>
            <w:r w:rsidR="00D97F67" w:rsidRPr="00771904">
              <w:rPr>
                <w:rFonts w:cs="Arial"/>
                <w:i/>
                <w:szCs w:val="22"/>
              </w:rPr>
              <w:t>0</w:t>
            </w:r>
            <w:r w:rsidR="006E74E4" w:rsidRPr="00771904">
              <w:rPr>
                <w:rFonts w:cs="Arial"/>
                <w:i/>
                <w:szCs w:val="22"/>
              </w:rPr>
              <w:t>%</w:t>
            </w:r>
          </w:p>
        </w:tc>
      </w:tr>
    </w:tbl>
    <w:p w:rsidR="008F3F44" w:rsidRPr="00771904" w:rsidRDefault="008F3F44" w:rsidP="008F3F44">
      <w:pPr>
        <w:rPr>
          <w:rFonts w:cs="Arial"/>
          <w:b/>
          <w:sz w:val="10"/>
          <w:szCs w:val="10"/>
        </w:rPr>
      </w:pPr>
    </w:p>
    <w:p w:rsidR="006E74E4" w:rsidRPr="00771904" w:rsidRDefault="00CD5F8A" w:rsidP="00783142">
      <w:pPr>
        <w:rPr>
          <w:rFonts w:cs="Arial"/>
          <w:b/>
          <w:szCs w:val="20"/>
        </w:rPr>
      </w:pPr>
      <w:r w:rsidRPr="00771904">
        <w:rPr>
          <w:rFonts w:cs="Arial"/>
          <w:b/>
          <w:szCs w:val="20"/>
        </w:rPr>
        <w:t xml:space="preserve">Actual Target Data for </w:t>
      </w:r>
      <w:r w:rsidR="005B1B42" w:rsidRPr="00771904">
        <w:rPr>
          <w:rFonts w:cs="Arial"/>
          <w:b/>
          <w:szCs w:val="20"/>
        </w:rPr>
        <w:t>FFY1</w:t>
      </w:r>
      <w:r w:rsidR="006F16EB" w:rsidRPr="00771904">
        <w:rPr>
          <w:rFonts w:cs="Arial"/>
          <w:b/>
          <w:szCs w:val="20"/>
        </w:rPr>
        <w:t>2</w:t>
      </w:r>
      <w:r w:rsidRPr="00771904">
        <w:rPr>
          <w:rFonts w:cs="Arial"/>
          <w:b/>
          <w:szCs w:val="20"/>
        </w:rPr>
        <w:t xml:space="preserve"> </w:t>
      </w:r>
      <w:r w:rsidR="00FC6703" w:rsidRPr="00771904">
        <w:rPr>
          <w:rFonts w:cs="Arial"/>
          <w:b/>
          <w:szCs w:val="20"/>
        </w:rPr>
        <w:t>(</w:t>
      </w:r>
      <w:r w:rsidR="005B1B42" w:rsidRPr="00771904">
        <w:rPr>
          <w:rFonts w:cs="Arial"/>
          <w:b/>
          <w:szCs w:val="20"/>
        </w:rPr>
        <w:t>July 1, 201</w:t>
      </w:r>
      <w:r w:rsidR="009C0999" w:rsidRPr="00771904">
        <w:rPr>
          <w:rFonts w:cs="Arial"/>
          <w:b/>
          <w:szCs w:val="20"/>
        </w:rPr>
        <w:t>2-June 30, 2013</w:t>
      </w:r>
      <w:r w:rsidR="00FC6703" w:rsidRPr="00771904">
        <w:rPr>
          <w:rFonts w:cs="Arial"/>
          <w:b/>
          <w:szCs w:val="20"/>
        </w:rPr>
        <w:t>):</w:t>
      </w:r>
    </w:p>
    <w:tbl>
      <w:tblPr>
        <w:tblW w:w="5028" w:type="pct"/>
        <w:tblInd w:w="18" w:type="dxa"/>
        <w:tblLayout w:type="fixed"/>
        <w:tblLook w:val="0000" w:firstRow="0" w:lastRow="0" w:firstColumn="0" w:lastColumn="0" w:noHBand="0" w:noVBand="0"/>
      </w:tblPr>
      <w:tblGrid>
        <w:gridCol w:w="1531"/>
        <w:gridCol w:w="1079"/>
        <w:gridCol w:w="2521"/>
        <w:gridCol w:w="3151"/>
        <w:gridCol w:w="1348"/>
      </w:tblGrid>
      <w:tr w:rsidR="006E74E4" w:rsidRPr="00771904" w:rsidTr="00634C27">
        <w:trPr>
          <w:trHeight w:val="278"/>
        </w:trPr>
        <w:tc>
          <w:tcPr>
            <w:tcW w:w="5000" w:type="pct"/>
            <w:gridSpan w:val="5"/>
            <w:tcBorders>
              <w:top w:val="single" w:sz="4" w:space="0" w:color="auto"/>
              <w:left w:val="single" w:sz="4" w:space="0" w:color="auto"/>
              <w:bottom w:val="single" w:sz="4" w:space="0" w:color="auto"/>
              <w:right w:val="single" w:sz="4" w:space="0" w:color="000000"/>
            </w:tcBorders>
            <w:noWrap/>
            <w:vAlign w:val="center"/>
          </w:tcPr>
          <w:p w:rsidR="006E74E4" w:rsidRPr="00771904" w:rsidRDefault="005904BD" w:rsidP="004B497F">
            <w:pPr>
              <w:ind w:left="-90"/>
              <w:jc w:val="center"/>
              <w:rPr>
                <w:rFonts w:cs="Arial"/>
                <w:color w:val="000000"/>
                <w:szCs w:val="22"/>
              </w:rPr>
            </w:pPr>
            <w:r w:rsidRPr="00771904">
              <w:rPr>
                <w:rFonts w:cs="Arial"/>
                <w:color w:val="000000"/>
                <w:szCs w:val="22"/>
              </w:rPr>
              <w:t xml:space="preserve">A.1. </w:t>
            </w:r>
            <w:r w:rsidR="006E74E4" w:rsidRPr="00771904">
              <w:rPr>
                <w:rFonts w:cs="Arial"/>
                <w:color w:val="000000"/>
                <w:szCs w:val="22"/>
              </w:rPr>
              <w:t>AGE AND RACE/ETHNICITY OF INFANTS AN</w:t>
            </w:r>
            <w:r w:rsidR="00DF2610" w:rsidRPr="00771904">
              <w:rPr>
                <w:rFonts w:cs="Arial"/>
                <w:color w:val="000000"/>
                <w:szCs w:val="22"/>
              </w:rPr>
              <w:t>D TODDLERS, AGES BIRTH THROUGH 1</w:t>
            </w:r>
          </w:p>
          <w:p w:rsidR="00D424A2" w:rsidRPr="00771904" w:rsidRDefault="00D424A2" w:rsidP="004B497F">
            <w:pPr>
              <w:ind w:left="-90"/>
              <w:jc w:val="center"/>
              <w:rPr>
                <w:rFonts w:cs="Arial"/>
                <w:color w:val="000000"/>
                <w:szCs w:val="22"/>
              </w:rPr>
            </w:pPr>
            <w:r w:rsidRPr="00771904">
              <w:rPr>
                <w:rFonts w:cs="Arial"/>
                <w:szCs w:val="22"/>
              </w:rPr>
              <w:t>WITH AN IFSP ON 12/1/12 (</w:t>
            </w:r>
            <w:hyperlink r:id="rId24" w:history="1">
              <w:r w:rsidRPr="00771904">
                <w:rPr>
                  <w:rStyle w:val="Hyperlink"/>
                  <w:rFonts w:cs="Arial"/>
                  <w:szCs w:val="22"/>
                </w:rPr>
                <w:t>http://tadnet.public.tadnet.org/pages/712</w:t>
              </w:r>
            </w:hyperlink>
            <w:r w:rsidRPr="00771904">
              <w:rPr>
                <w:rFonts w:cs="Arial"/>
                <w:szCs w:val="22"/>
              </w:rPr>
              <w:t>)</w:t>
            </w:r>
          </w:p>
        </w:tc>
      </w:tr>
      <w:tr w:rsidR="00550DCA" w:rsidRPr="00771904" w:rsidTr="00602EE8">
        <w:trPr>
          <w:trHeight w:val="368"/>
        </w:trPr>
        <w:tc>
          <w:tcPr>
            <w:tcW w:w="795" w:type="pct"/>
            <w:vMerge w:val="restart"/>
            <w:tcBorders>
              <w:top w:val="nil"/>
              <w:left w:val="single" w:sz="4" w:space="0" w:color="auto"/>
              <w:right w:val="nil"/>
            </w:tcBorders>
            <w:noWrap/>
            <w:vAlign w:val="center"/>
          </w:tcPr>
          <w:p w:rsidR="00550DCA" w:rsidRPr="00771904" w:rsidRDefault="00550DCA" w:rsidP="004B497F">
            <w:pPr>
              <w:ind w:left="-90"/>
              <w:rPr>
                <w:rFonts w:cs="Arial"/>
                <w:color w:val="000000"/>
                <w:szCs w:val="22"/>
              </w:rPr>
            </w:pPr>
            <w:r w:rsidRPr="00771904">
              <w:rPr>
                <w:rFonts w:cs="Arial"/>
                <w:color w:val="000000"/>
                <w:szCs w:val="22"/>
              </w:rPr>
              <w:t>TOTAL</w:t>
            </w:r>
          </w:p>
        </w:tc>
        <w:tc>
          <w:tcPr>
            <w:tcW w:w="560" w:type="pct"/>
            <w:tcBorders>
              <w:top w:val="nil"/>
              <w:left w:val="single" w:sz="4" w:space="0" w:color="auto"/>
              <w:right w:val="single" w:sz="4" w:space="0" w:color="auto"/>
            </w:tcBorders>
            <w:noWrap/>
            <w:vAlign w:val="center"/>
          </w:tcPr>
          <w:p w:rsidR="00550DCA" w:rsidRPr="00771904" w:rsidRDefault="00550DCA" w:rsidP="004B497F">
            <w:pPr>
              <w:ind w:left="-90"/>
              <w:jc w:val="center"/>
              <w:rPr>
                <w:rFonts w:cs="Arial"/>
                <w:color w:val="000000"/>
                <w:szCs w:val="22"/>
              </w:rPr>
            </w:pPr>
            <w:r w:rsidRPr="00771904">
              <w:rPr>
                <w:rFonts w:cs="Arial"/>
                <w:color w:val="000000"/>
                <w:szCs w:val="22"/>
              </w:rPr>
              <w:t>Total</w:t>
            </w:r>
          </w:p>
        </w:tc>
        <w:tc>
          <w:tcPr>
            <w:tcW w:w="1309" w:type="pct"/>
            <w:tcBorders>
              <w:top w:val="nil"/>
              <w:left w:val="nil"/>
              <w:right w:val="nil"/>
            </w:tcBorders>
            <w:noWrap/>
            <w:vAlign w:val="center"/>
          </w:tcPr>
          <w:p w:rsidR="00550DCA" w:rsidRPr="00771904" w:rsidRDefault="00550DCA" w:rsidP="004B497F">
            <w:pPr>
              <w:ind w:left="-90"/>
              <w:jc w:val="center"/>
              <w:rPr>
                <w:rFonts w:cs="Arial"/>
                <w:color w:val="000000"/>
                <w:szCs w:val="22"/>
              </w:rPr>
            </w:pPr>
            <w:r w:rsidRPr="00771904">
              <w:rPr>
                <w:rFonts w:cs="Arial"/>
                <w:color w:val="000000"/>
                <w:szCs w:val="22"/>
              </w:rPr>
              <w:t>Birth to 1</w:t>
            </w:r>
          </w:p>
          <w:p w:rsidR="00550DCA" w:rsidRPr="00771904" w:rsidRDefault="00550DCA" w:rsidP="004B497F">
            <w:pPr>
              <w:ind w:left="-90"/>
              <w:jc w:val="center"/>
              <w:rPr>
                <w:rFonts w:cs="Arial"/>
                <w:color w:val="000000"/>
                <w:szCs w:val="22"/>
              </w:rPr>
            </w:pPr>
            <w:r w:rsidRPr="00771904">
              <w:rPr>
                <w:rFonts w:cs="Arial"/>
                <w:color w:val="000000"/>
                <w:szCs w:val="22"/>
              </w:rPr>
              <w:t>(0 to &lt;12 months)</w:t>
            </w:r>
          </w:p>
        </w:tc>
        <w:tc>
          <w:tcPr>
            <w:tcW w:w="1636" w:type="pct"/>
            <w:tcBorders>
              <w:top w:val="nil"/>
              <w:left w:val="single" w:sz="4" w:space="0" w:color="auto"/>
              <w:right w:val="single" w:sz="4" w:space="0" w:color="auto"/>
            </w:tcBorders>
            <w:noWrap/>
            <w:vAlign w:val="center"/>
          </w:tcPr>
          <w:p w:rsidR="00550DCA" w:rsidRPr="00771904" w:rsidRDefault="00602EE8" w:rsidP="00C15B26">
            <w:pPr>
              <w:ind w:left="-90"/>
              <w:jc w:val="center"/>
              <w:rPr>
                <w:rFonts w:cs="Arial"/>
                <w:szCs w:val="22"/>
              </w:rPr>
            </w:pPr>
            <w:r w:rsidRPr="00771904">
              <w:rPr>
                <w:rFonts w:cs="Arial"/>
                <w:szCs w:val="22"/>
              </w:rPr>
              <w:t>2012 Census Population</w:t>
            </w:r>
            <w:r w:rsidRPr="00771904">
              <w:rPr>
                <w:rFonts w:cs="Arial"/>
                <w:szCs w:val="22"/>
              </w:rPr>
              <w:br/>
              <w:t>Estimate</w:t>
            </w:r>
            <w:r w:rsidR="00C15B26" w:rsidRPr="00771904">
              <w:rPr>
                <w:rFonts w:cs="Arial"/>
                <w:szCs w:val="22"/>
              </w:rPr>
              <w:t xml:space="preserve">: </w:t>
            </w:r>
            <w:r w:rsidRPr="00771904">
              <w:rPr>
                <w:rFonts w:cs="Arial"/>
                <w:szCs w:val="22"/>
              </w:rPr>
              <w:t xml:space="preserve">Age </w:t>
            </w:r>
            <w:r w:rsidR="00550DCA" w:rsidRPr="00771904">
              <w:rPr>
                <w:rFonts w:cs="Arial"/>
                <w:szCs w:val="22"/>
              </w:rPr>
              <w:t>0 only</w:t>
            </w:r>
            <w:r w:rsidRPr="00771904">
              <w:rPr>
                <w:rFonts w:cs="Arial"/>
                <w:szCs w:val="22"/>
              </w:rPr>
              <w:t>*</w:t>
            </w:r>
          </w:p>
        </w:tc>
        <w:tc>
          <w:tcPr>
            <w:tcW w:w="700" w:type="pct"/>
            <w:tcBorders>
              <w:top w:val="nil"/>
              <w:left w:val="single" w:sz="4" w:space="0" w:color="auto"/>
              <w:right w:val="single" w:sz="4" w:space="0" w:color="auto"/>
            </w:tcBorders>
            <w:vAlign w:val="center"/>
          </w:tcPr>
          <w:p w:rsidR="00550DCA" w:rsidRPr="00771904" w:rsidRDefault="00550DCA" w:rsidP="004B497F">
            <w:pPr>
              <w:ind w:left="-90"/>
              <w:jc w:val="center"/>
              <w:rPr>
                <w:rFonts w:cs="Arial"/>
                <w:szCs w:val="22"/>
              </w:rPr>
            </w:pPr>
            <w:r w:rsidRPr="00771904">
              <w:rPr>
                <w:rFonts w:cs="Arial"/>
                <w:szCs w:val="22"/>
              </w:rPr>
              <w:t>Percent</w:t>
            </w:r>
          </w:p>
        </w:tc>
      </w:tr>
      <w:tr w:rsidR="00550DCA" w:rsidRPr="00771904" w:rsidTr="00602EE8">
        <w:trPr>
          <w:trHeight w:val="360"/>
        </w:trPr>
        <w:tc>
          <w:tcPr>
            <w:tcW w:w="795" w:type="pct"/>
            <w:vMerge/>
            <w:tcBorders>
              <w:left w:val="single" w:sz="4" w:space="0" w:color="auto"/>
              <w:bottom w:val="single" w:sz="4" w:space="0" w:color="auto"/>
              <w:right w:val="nil"/>
            </w:tcBorders>
            <w:noWrap/>
            <w:vAlign w:val="center"/>
          </w:tcPr>
          <w:p w:rsidR="00550DCA" w:rsidRPr="00771904" w:rsidRDefault="00550DCA" w:rsidP="004B497F">
            <w:pPr>
              <w:ind w:left="-90"/>
              <w:rPr>
                <w:rFonts w:cs="Arial"/>
                <w:color w:val="000000"/>
                <w:szCs w:val="22"/>
              </w:rPr>
            </w:pPr>
          </w:p>
        </w:tc>
        <w:tc>
          <w:tcPr>
            <w:tcW w:w="560" w:type="pct"/>
            <w:tcBorders>
              <w:top w:val="nil"/>
              <w:left w:val="single" w:sz="4" w:space="0" w:color="auto"/>
              <w:bottom w:val="single" w:sz="4" w:space="0" w:color="auto"/>
              <w:right w:val="single" w:sz="4" w:space="0" w:color="auto"/>
            </w:tcBorders>
            <w:noWrap/>
            <w:vAlign w:val="center"/>
          </w:tcPr>
          <w:p w:rsidR="00550DCA" w:rsidRPr="00771904" w:rsidRDefault="00550DCA" w:rsidP="005904BD">
            <w:pPr>
              <w:ind w:left="-90"/>
              <w:jc w:val="center"/>
              <w:rPr>
                <w:rFonts w:cs="Arial"/>
                <w:color w:val="000000"/>
                <w:szCs w:val="22"/>
                <w:highlight w:val="yellow"/>
              </w:rPr>
            </w:pPr>
            <w:r w:rsidRPr="00771904">
              <w:rPr>
                <w:rFonts w:cs="Arial"/>
                <w:color w:val="000000"/>
                <w:szCs w:val="22"/>
              </w:rPr>
              <w:t>4410</w:t>
            </w:r>
          </w:p>
        </w:tc>
        <w:tc>
          <w:tcPr>
            <w:tcW w:w="1309" w:type="pct"/>
            <w:tcBorders>
              <w:top w:val="nil"/>
              <w:left w:val="nil"/>
              <w:bottom w:val="single" w:sz="4" w:space="0" w:color="auto"/>
              <w:right w:val="single" w:sz="4" w:space="0" w:color="auto"/>
            </w:tcBorders>
            <w:noWrap/>
            <w:vAlign w:val="center"/>
          </w:tcPr>
          <w:p w:rsidR="00550DCA" w:rsidRPr="00771904" w:rsidRDefault="00550DCA" w:rsidP="004B497F">
            <w:pPr>
              <w:ind w:left="-90"/>
              <w:jc w:val="center"/>
              <w:rPr>
                <w:rFonts w:cs="Arial"/>
                <w:color w:val="000000"/>
                <w:szCs w:val="22"/>
                <w:highlight w:val="yellow"/>
              </w:rPr>
            </w:pPr>
            <w:r w:rsidRPr="00771904">
              <w:rPr>
                <w:rFonts w:cs="Arial"/>
                <w:color w:val="000000"/>
                <w:szCs w:val="22"/>
              </w:rPr>
              <w:t>425</w:t>
            </w:r>
          </w:p>
        </w:tc>
        <w:tc>
          <w:tcPr>
            <w:tcW w:w="1636" w:type="pct"/>
            <w:tcBorders>
              <w:top w:val="nil"/>
              <w:left w:val="nil"/>
              <w:bottom w:val="single" w:sz="4" w:space="0" w:color="auto"/>
              <w:right w:val="single" w:sz="4" w:space="0" w:color="auto"/>
            </w:tcBorders>
            <w:noWrap/>
            <w:vAlign w:val="center"/>
          </w:tcPr>
          <w:p w:rsidR="00550DCA" w:rsidRPr="00771904" w:rsidRDefault="00550DCA" w:rsidP="004B497F">
            <w:pPr>
              <w:ind w:left="-90"/>
              <w:jc w:val="center"/>
              <w:rPr>
                <w:rFonts w:cs="Arial"/>
                <w:szCs w:val="22"/>
              </w:rPr>
            </w:pPr>
            <w:r w:rsidRPr="00771904">
              <w:rPr>
                <w:rFonts w:cs="Arial"/>
                <w:szCs w:val="22"/>
              </w:rPr>
              <w:t>36,714</w:t>
            </w:r>
          </w:p>
        </w:tc>
        <w:tc>
          <w:tcPr>
            <w:tcW w:w="700" w:type="pct"/>
            <w:tcBorders>
              <w:top w:val="nil"/>
              <w:left w:val="nil"/>
              <w:bottom w:val="single" w:sz="4" w:space="0" w:color="auto"/>
              <w:right w:val="single" w:sz="4" w:space="0" w:color="auto"/>
            </w:tcBorders>
            <w:vAlign w:val="center"/>
          </w:tcPr>
          <w:p w:rsidR="00550DCA" w:rsidRPr="00771904" w:rsidRDefault="00550DCA" w:rsidP="006359E5">
            <w:pPr>
              <w:ind w:left="-90"/>
              <w:jc w:val="center"/>
              <w:rPr>
                <w:rFonts w:cs="Arial"/>
                <w:szCs w:val="22"/>
              </w:rPr>
            </w:pPr>
            <w:r w:rsidRPr="00771904">
              <w:rPr>
                <w:rFonts w:cs="Arial"/>
                <w:szCs w:val="22"/>
              </w:rPr>
              <w:t>1.16%</w:t>
            </w:r>
          </w:p>
        </w:tc>
      </w:tr>
    </w:tbl>
    <w:p w:rsidR="00602EE8" w:rsidRPr="00771904" w:rsidRDefault="00602EE8" w:rsidP="009A7E7F">
      <w:pPr>
        <w:pStyle w:val="StyleLeft025"/>
        <w:ind w:left="0"/>
        <w:rPr>
          <w:rFonts w:cs="Arial"/>
          <w:color w:val="000000" w:themeColor="text1"/>
          <w:sz w:val="20"/>
        </w:rPr>
      </w:pPr>
      <w:r w:rsidRPr="00771904">
        <w:rPr>
          <w:rFonts w:cs="Arial"/>
          <w:color w:val="000000" w:themeColor="text1"/>
          <w:sz w:val="20"/>
        </w:rPr>
        <w:t>*Source</w:t>
      </w:r>
      <w:r w:rsidR="007C24E6" w:rsidRPr="00771904">
        <w:rPr>
          <w:rFonts w:cs="Arial"/>
          <w:color w:val="000000" w:themeColor="text1"/>
          <w:sz w:val="20"/>
        </w:rPr>
        <w:t>: http://factfinder2.census.gov/faces/tableservices/jsf/pages/productview.xhtml?src=bkmk</w:t>
      </w:r>
    </w:p>
    <w:p w:rsidR="00C52642" w:rsidRPr="00771904" w:rsidRDefault="00C52642" w:rsidP="009A7E7F">
      <w:pPr>
        <w:pStyle w:val="StyleLeft025"/>
        <w:ind w:left="0"/>
        <w:rPr>
          <w:rFonts w:cs="Arial"/>
          <w:color w:val="000000" w:themeColor="text1"/>
          <w:sz w:val="10"/>
          <w:szCs w:val="10"/>
        </w:rPr>
      </w:pPr>
    </w:p>
    <w:p w:rsidR="00FB6B4B" w:rsidRPr="00771904" w:rsidRDefault="00FB6B4B" w:rsidP="00FB6B4B">
      <w:pPr>
        <w:rPr>
          <w:rFonts w:cs="Arial"/>
          <w:color w:val="000000" w:themeColor="text1"/>
          <w:szCs w:val="22"/>
        </w:rPr>
      </w:pPr>
      <w:r w:rsidRPr="00771904">
        <w:rPr>
          <w:rFonts w:cs="Arial"/>
          <w:color w:val="000000" w:themeColor="text1"/>
          <w:szCs w:val="22"/>
        </w:rPr>
        <w:t>When compared to national data, Connecticut ranks 23</w:t>
      </w:r>
      <w:r w:rsidRPr="00771904">
        <w:rPr>
          <w:rFonts w:cs="Arial"/>
          <w:color w:val="000000" w:themeColor="text1"/>
          <w:szCs w:val="22"/>
          <w:vertAlign w:val="superscript"/>
        </w:rPr>
        <w:t>rd</w:t>
      </w:r>
      <w:r w:rsidRPr="00771904">
        <w:rPr>
          <w:rFonts w:cs="Arial"/>
          <w:color w:val="000000" w:themeColor="text1"/>
          <w:szCs w:val="22"/>
        </w:rPr>
        <w:t xml:space="preserve"> among the </w:t>
      </w:r>
      <w:r w:rsidR="00612E42" w:rsidRPr="00771904">
        <w:rPr>
          <w:rFonts w:cs="Arial"/>
          <w:color w:val="000000" w:themeColor="text1"/>
          <w:szCs w:val="22"/>
        </w:rPr>
        <w:t xml:space="preserve">50 states, D.C. and Puerto Rico and is above the </w:t>
      </w:r>
      <w:r w:rsidRPr="00771904">
        <w:rPr>
          <w:rFonts w:cs="Arial"/>
          <w:color w:val="000000" w:themeColor="text1"/>
        </w:rPr>
        <w:t>average</w:t>
      </w:r>
      <w:r w:rsidR="00612E42" w:rsidRPr="00771904">
        <w:rPr>
          <w:rFonts w:cs="Arial"/>
          <w:color w:val="000000" w:themeColor="text1"/>
        </w:rPr>
        <w:t xml:space="preserve"> of 1.06</w:t>
      </w:r>
      <w:r w:rsidRPr="00771904">
        <w:rPr>
          <w:rFonts w:cs="Arial"/>
          <w:color w:val="000000" w:themeColor="text1"/>
          <w:szCs w:val="22"/>
        </w:rPr>
        <w:t xml:space="preserve">.  </w:t>
      </w:r>
    </w:p>
    <w:p w:rsidR="009A7E7F" w:rsidRPr="00771904" w:rsidRDefault="009A7E7F" w:rsidP="00CD5F8A">
      <w:pPr>
        <w:rPr>
          <w:rFonts w:cs="Arial"/>
          <w:b/>
          <w:sz w:val="10"/>
          <w:szCs w:val="10"/>
        </w:rPr>
      </w:pPr>
    </w:p>
    <w:p w:rsidR="00CD5F8A" w:rsidRPr="00771904" w:rsidRDefault="00CD5F8A" w:rsidP="00CD5F8A">
      <w:pPr>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for </w:t>
      </w:r>
      <w:r w:rsidR="006F16EB" w:rsidRPr="00771904">
        <w:rPr>
          <w:rFonts w:cs="Arial"/>
          <w:b/>
          <w:szCs w:val="22"/>
        </w:rPr>
        <w:t>FFY12</w:t>
      </w:r>
      <w:r w:rsidR="00FC6703" w:rsidRPr="00771904">
        <w:rPr>
          <w:rFonts w:cs="Arial"/>
          <w:b/>
          <w:szCs w:val="22"/>
        </w:rPr>
        <w:t>:</w:t>
      </w:r>
    </w:p>
    <w:p w:rsidR="00FB6B4B" w:rsidRPr="00771904" w:rsidRDefault="00B907D2" w:rsidP="00FB6B4B">
      <w:pPr>
        <w:ind w:right="-180"/>
        <w:rPr>
          <w:rFonts w:cs="Arial"/>
          <w:szCs w:val="22"/>
        </w:rPr>
      </w:pPr>
      <w:r w:rsidRPr="00771904">
        <w:rPr>
          <w:rFonts w:cs="Arial"/>
          <w:szCs w:val="22"/>
        </w:rPr>
        <w:t xml:space="preserve">Connecticut </w:t>
      </w:r>
      <w:r w:rsidR="00FD421B" w:rsidRPr="00771904">
        <w:rPr>
          <w:rFonts w:cs="Arial"/>
          <w:szCs w:val="22"/>
        </w:rPr>
        <w:t xml:space="preserve">had 42 fewer children under the age of one with an IFSP on </w:t>
      </w:r>
      <w:r w:rsidR="00A1523C" w:rsidRPr="00771904">
        <w:rPr>
          <w:rFonts w:cs="Arial"/>
          <w:szCs w:val="22"/>
        </w:rPr>
        <w:t>12/1/12 than on 12/1/1</w:t>
      </w:r>
      <w:r w:rsidR="00C52642" w:rsidRPr="00771904">
        <w:rPr>
          <w:rFonts w:cs="Arial"/>
          <w:szCs w:val="22"/>
        </w:rPr>
        <w:t>1</w:t>
      </w:r>
      <w:r w:rsidR="00FD421B" w:rsidRPr="00771904">
        <w:rPr>
          <w:rFonts w:cs="Arial"/>
          <w:szCs w:val="22"/>
        </w:rPr>
        <w:t>.  This demonstrates</w:t>
      </w:r>
      <w:r w:rsidRPr="00771904">
        <w:rPr>
          <w:rFonts w:cs="Arial"/>
          <w:szCs w:val="22"/>
        </w:rPr>
        <w:t xml:space="preserve"> slippage </w:t>
      </w:r>
      <w:r w:rsidR="00657A24" w:rsidRPr="00771904">
        <w:rPr>
          <w:rFonts w:cs="Arial"/>
          <w:szCs w:val="22"/>
        </w:rPr>
        <w:t xml:space="preserve">and </w:t>
      </w:r>
      <w:r w:rsidR="00192829" w:rsidRPr="00771904">
        <w:rPr>
          <w:rFonts w:cs="Arial"/>
          <w:szCs w:val="22"/>
        </w:rPr>
        <w:t>the State</w:t>
      </w:r>
      <w:r w:rsidR="00FD421B" w:rsidRPr="00771904">
        <w:rPr>
          <w:rFonts w:cs="Arial"/>
          <w:szCs w:val="22"/>
        </w:rPr>
        <w:t xml:space="preserve"> is </w:t>
      </w:r>
      <w:r w:rsidRPr="00771904">
        <w:rPr>
          <w:rFonts w:cs="Arial"/>
          <w:szCs w:val="22"/>
        </w:rPr>
        <w:t>no longer meeting its target despite a drop in the Census estimate by 6</w:t>
      </w:r>
      <w:r w:rsidR="00AE4F88" w:rsidRPr="00771904">
        <w:rPr>
          <w:rFonts w:cs="Arial"/>
          <w:szCs w:val="22"/>
        </w:rPr>
        <w:t>04</w:t>
      </w:r>
      <w:r w:rsidR="00FD421B" w:rsidRPr="00771904">
        <w:rPr>
          <w:rFonts w:cs="Arial"/>
          <w:szCs w:val="22"/>
        </w:rPr>
        <w:t xml:space="preserve"> children</w:t>
      </w:r>
      <w:r w:rsidR="00634C27" w:rsidRPr="00771904">
        <w:rPr>
          <w:rFonts w:cs="Arial"/>
          <w:szCs w:val="22"/>
        </w:rPr>
        <w:t xml:space="preserve"> (gray bars below)</w:t>
      </w:r>
      <w:r w:rsidR="00FD421B" w:rsidRPr="00771904">
        <w:rPr>
          <w:rFonts w:cs="Arial"/>
          <w:szCs w:val="22"/>
        </w:rPr>
        <w:t>.</w:t>
      </w:r>
      <w:r w:rsidR="00657A24" w:rsidRPr="00771904">
        <w:rPr>
          <w:rFonts w:cs="Arial"/>
          <w:szCs w:val="22"/>
        </w:rPr>
        <w:t xml:space="preserve">  The standard deviation for this indicator since 2008 is 0.05% and </w:t>
      </w:r>
      <w:r w:rsidR="00C52642" w:rsidRPr="00771904">
        <w:rPr>
          <w:rFonts w:cs="Arial"/>
          <w:szCs w:val="22"/>
        </w:rPr>
        <w:t xml:space="preserve">the 2012 percent </w:t>
      </w:r>
      <w:r w:rsidR="00657A24" w:rsidRPr="00771904">
        <w:rPr>
          <w:rFonts w:cs="Arial"/>
          <w:szCs w:val="22"/>
        </w:rPr>
        <w:t>is 0.09%</w:t>
      </w:r>
      <w:r w:rsidR="00550DCA" w:rsidRPr="00771904">
        <w:rPr>
          <w:rFonts w:cs="Arial"/>
          <w:szCs w:val="22"/>
        </w:rPr>
        <w:t xml:space="preserve"> below the 2011 percent.</w:t>
      </w:r>
      <w:r w:rsidR="00602EE8" w:rsidRPr="00771904">
        <w:rPr>
          <w:rFonts w:cs="Arial"/>
          <w:szCs w:val="22"/>
        </w:rPr>
        <w:t xml:space="preserve"> The reasons for this drop are not yet apparent but feedback from provider</w:t>
      </w:r>
      <w:r w:rsidR="00884C95" w:rsidRPr="00771904">
        <w:rPr>
          <w:rFonts w:cs="Arial"/>
          <w:szCs w:val="22"/>
        </w:rPr>
        <w:t>s suggests that the family cost</w:t>
      </w:r>
      <w:r w:rsidR="00602EE8" w:rsidRPr="00771904">
        <w:rPr>
          <w:rFonts w:cs="Arial"/>
          <w:szCs w:val="22"/>
        </w:rPr>
        <w:t xml:space="preserve"> participation fees </w:t>
      </w:r>
      <w:r w:rsidR="00C52642" w:rsidRPr="00771904">
        <w:rPr>
          <w:rFonts w:cs="Arial"/>
          <w:szCs w:val="22"/>
        </w:rPr>
        <w:t>are having</w:t>
      </w:r>
      <w:r w:rsidR="00602EE8" w:rsidRPr="00771904">
        <w:rPr>
          <w:rFonts w:cs="Arial"/>
          <w:szCs w:val="22"/>
        </w:rPr>
        <w:t xml:space="preserve"> an impact</w:t>
      </w:r>
      <w:r w:rsidR="00884C95" w:rsidRPr="00771904">
        <w:rPr>
          <w:rFonts w:cs="Arial"/>
          <w:szCs w:val="22"/>
        </w:rPr>
        <w:t xml:space="preserve"> on how long families </w:t>
      </w:r>
      <w:r w:rsidR="00C52642" w:rsidRPr="00771904">
        <w:rPr>
          <w:rFonts w:cs="Arial"/>
          <w:szCs w:val="22"/>
        </w:rPr>
        <w:t>choose to stay enrolled in Birth to Three</w:t>
      </w:r>
      <w:r w:rsidR="00602EE8" w:rsidRPr="00771904">
        <w:rPr>
          <w:rFonts w:cs="Arial"/>
          <w:szCs w:val="22"/>
        </w:rPr>
        <w:t>.</w:t>
      </w:r>
      <w:r w:rsidR="00FB6B4B" w:rsidRPr="00771904">
        <w:rPr>
          <w:rFonts w:cs="Arial"/>
          <w:szCs w:val="22"/>
        </w:rPr>
        <w:t xml:space="preserve">  </w:t>
      </w:r>
    </w:p>
    <w:p w:rsidR="00FB6B4B" w:rsidRPr="00771904" w:rsidRDefault="00FB6B4B" w:rsidP="00FB6B4B">
      <w:pPr>
        <w:ind w:right="-180"/>
        <w:rPr>
          <w:rFonts w:cs="Arial"/>
          <w:szCs w:val="22"/>
        </w:rPr>
      </w:pPr>
      <w:r w:rsidRPr="00771904">
        <w:rPr>
          <w:rFonts w:cs="Arial"/>
          <w:szCs w:val="22"/>
        </w:rPr>
        <w:t>The black line below represents the percent of children under age one with IFSPs on December 1</w:t>
      </w:r>
      <w:r w:rsidRPr="00771904">
        <w:rPr>
          <w:rFonts w:cs="Arial"/>
          <w:szCs w:val="22"/>
          <w:vertAlign w:val="superscript"/>
        </w:rPr>
        <w:t>st</w:t>
      </w:r>
      <w:r w:rsidRPr="00771904">
        <w:rPr>
          <w:rFonts w:cs="Arial"/>
          <w:szCs w:val="22"/>
        </w:rPr>
        <w:t xml:space="preserve"> and the gray bars represent the federal Census or intercensal estimates (Using age 0 only).</w:t>
      </w:r>
    </w:p>
    <w:p w:rsidR="00FB6B4B" w:rsidRPr="00771904" w:rsidRDefault="00FB6B4B" w:rsidP="00FB6B4B">
      <w:pPr>
        <w:ind w:right="-180"/>
        <w:rPr>
          <w:rFonts w:cs="Arial"/>
          <w:sz w:val="12"/>
          <w:szCs w:val="12"/>
        </w:rPr>
      </w:pPr>
    </w:p>
    <w:p w:rsidR="00634C27" w:rsidRPr="00771904" w:rsidRDefault="00FB6B4B" w:rsidP="00D413E4">
      <w:pPr>
        <w:rPr>
          <w:rFonts w:cs="Arial"/>
          <w:sz w:val="10"/>
          <w:szCs w:val="10"/>
        </w:rPr>
      </w:pPr>
      <w:r w:rsidRPr="00771904">
        <w:rPr>
          <w:rFonts w:cs="Arial"/>
          <w:noProof/>
        </w:rPr>
        <w:drawing>
          <wp:inline distT="0" distB="0" distL="0" distR="0" wp14:anchorId="75ADBAA0" wp14:editId="24DD7AF2">
            <wp:extent cx="5797685" cy="1955259"/>
            <wp:effectExtent l="0" t="0" r="1270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421B" w:rsidRPr="00771904" w:rsidRDefault="00FD421B" w:rsidP="00D413E4">
      <w:pPr>
        <w:rPr>
          <w:rFonts w:cs="Arial"/>
          <w:sz w:val="10"/>
          <w:szCs w:val="10"/>
        </w:rPr>
      </w:pPr>
    </w:p>
    <w:p w:rsidR="00CD5F8A" w:rsidRPr="00771904" w:rsidRDefault="00CD5F8A" w:rsidP="00CD5F8A">
      <w:pPr>
        <w:pStyle w:val="StyleLeft025"/>
        <w:ind w:left="0"/>
        <w:rPr>
          <w:rFonts w:cs="Arial"/>
          <w:i/>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C02A8F" w:rsidRPr="00771904">
        <w:rPr>
          <w:rFonts w:cs="Arial"/>
          <w:b/>
          <w:szCs w:val="22"/>
        </w:rPr>
        <w:t xml:space="preserve">FFY12 (July 1, 2012-June 30, 2013) </w:t>
      </w:r>
      <w:r w:rsidRPr="00771904">
        <w:rPr>
          <w:rFonts w:cs="Arial"/>
          <w:i/>
          <w:szCs w:val="22"/>
        </w:rPr>
        <w:t>[If applicable]</w:t>
      </w:r>
    </w:p>
    <w:p w:rsidR="0035761F" w:rsidRPr="00771904" w:rsidRDefault="00DB557E" w:rsidP="009A7E7F">
      <w:pPr>
        <w:pStyle w:val="BodyText2"/>
        <w:spacing w:before="0" w:after="0"/>
        <w:rPr>
          <w:sz w:val="22"/>
          <w:szCs w:val="22"/>
        </w:rPr>
      </w:pPr>
      <w:r w:rsidRPr="00771904">
        <w:rPr>
          <w:sz w:val="22"/>
          <w:szCs w:val="22"/>
        </w:rPr>
        <w:t>N</w:t>
      </w:r>
      <w:r w:rsidR="00E06E0E" w:rsidRPr="00771904">
        <w:rPr>
          <w:sz w:val="22"/>
          <w:szCs w:val="22"/>
        </w:rPr>
        <w:t xml:space="preserve">ew improvement strategies </w:t>
      </w:r>
      <w:r w:rsidRPr="00771904">
        <w:rPr>
          <w:sz w:val="22"/>
          <w:szCs w:val="22"/>
        </w:rPr>
        <w:t>will be incorporated into the new SPP/SSIP</w:t>
      </w:r>
      <w:r w:rsidR="00E06E0E" w:rsidRPr="00771904">
        <w:rPr>
          <w:sz w:val="22"/>
          <w:szCs w:val="22"/>
        </w:rPr>
        <w:t>.</w:t>
      </w:r>
    </w:p>
    <w:p w:rsidR="006E74E4" w:rsidRPr="00771904" w:rsidRDefault="006E74E4" w:rsidP="00CD5F8A">
      <w:pPr>
        <w:pStyle w:val="StyleLeft025"/>
        <w:ind w:left="0"/>
        <w:rPr>
          <w:rFonts w:cs="Arial"/>
        </w:rPr>
      </w:pPr>
      <w:r w:rsidRPr="00771904">
        <w:rPr>
          <w:rFonts w:cs="Arial"/>
        </w:rPr>
        <w:br w:type="page"/>
      </w:r>
      <w:r w:rsidRPr="00771904">
        <w:rPr>
          <w:rFonts w:cs="Arial"/>
          <w:b/>
        </w:rPr>
        <w:lastRenderedPageBreak/>
        <w:t xml:space="preserve">Part C State Annual Performance Report (APR) for </w:t>
      </w:r>
      <w:r w:rsidR="0068780F" w:rsidRPr="00771904">
        <w:rPr>
          <w:rFonts w:cs="Arial"/>
          <w:b/>
        </w:rPr>
        <w:t xml:space="preserve">Federal </w:t>
      </w:r>
      <w:r w:rsidR="00BA69E5" w:rsidRPr="00771904">
        <w:rPr>
          <w:rFonts w:cs="Arial"/>
          <w:b/>
        </w:rPr>
        <w:t xml:space="preserve">Fiscal </w:t>
      </w:r>
      <w:r w:rsidR="00C71124" w:rsidRPr="00771904">
        <w:rPr>
          <w:rFonts w:cs="Arial"/>
          <w:b/>
        </w:rPr>
        <w:t xml:space="preserve">Year </w:t>
      </w:r>
      <w:r w:rsidR="00976EA6" w:rsidRPr="00771904">
        <w:rPr>
          <w:rFonts w:cs="Arial"/>
          <w:b/>
        </w:rPr>
        <w:t>(FFY) 201</w:t>
      </w:r>
      <w:r w:rsidR="00205C4E" w:rsidRPr="00771904">
        <w:rPr>
          <w:rFonts w:cs="Arial"/>
          <w:b/>
        </w:rPr>
        <w:t>2</w:t>
      </w:r>
    </w:p>
    <w:p w:rsidR="006E74E4" w:rsidRPr="00771904" w:rsidRDefault="006E74E4">
      <w:pPr>
        <w:ind w:left="360"/>
        <w:rPr>
          <w:rFonts w:cs="Arial"/>
          <w:i/>
          <w:sz w:val="16"/>
          <w:szCs w:val="16"/>
        </w:rPr>
      </w:pPr>
    </w:p>
    <w:p w:rsidR="006E74E4" w:rsidRPr="00771904" w:rsidRDefault="006E74E4" w:rsidP="008F3F44">
      <w:pPr>
        <w:rPr>
          <w:rFonts w:cs="Arial"/>
          <w:b/>
          <w:iCs/>
          <w:sz w:val="20"/>
        </w:rPr>
      </w:pPr>
      <w:r w:rsidRPr="00771904">
        <w:rPr>
          <w:rFonts w:cs="Arial"/>
          <w:b/>
          <w:iCs/>
          <w:sz w:val="20"/>
        </w:rPr>
        <w:t>Overview of the Annual Performance Report Development:</w:t>
      </w:r>
    </w:p>
    <w:p w:rsidR="006E74E4" w:rsidRPr="00771904" w:rsidRDefault="006E74E4" w:rsidP="008F3F44">
      <w:pPr>
        <w:rPr>
          <w:rFonts w:cs="Arial"/>
        </w:rPr>
      </w:pPr>
      <w:r w:rsidRPr="00771904">
        <w:rPr>
          <w:rFonts w:cs="Arial"/>
        </w:rPr>
        <w:t>Same process as described in Indicator #1.</w:t>
      </w:r>
    </w:p>
    <w:p w:rsidR="008F3F44" w:rsidRPr="00771904" w:rsidRDefault="008F3F44" w:rsidP="008F3F44">
      <w:pPr>
        <w:rPr>
          <w:rFonts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E74E4" w:rsidRPr="00771904" w:rsidTr="00C47124">
        <w:trPr>
          <w:trHeight w:val="665"/>
        </w:trPr>
        <w:tc>
          <w:tcPr>
            <w:tcW w:w="9648" w:type="dxa"/>
            <w:vAlign w:val="center"/>
          </w:tcPr>
          <w:p w:rsidR="006E74E4" w:rsidRPr="00771904" w:rsidRDefault="006E74E4" w:rsidP="008F3F44">
            <w:pPr>
              <w:ind w:left="1980" w:hanging="1980"/>
              <w:rPr>
                <w:rFonts w:cs="Arial"/>
                <w:b/>
                <w:sz w:val="20"/>
                <w:szCs w:val="20"/>
              </w:rPr>
            </w:pPr>
            <w:r w:rsidRPr="00771904">
              <w:rPr>
                <w:rFonts w:cs="Arial"/>
                <w:b/>
                <w:sz w:val="20"/>
                <w:szCs w:val="20"/>
              </w:rPr>
              <w:t>Monitoring Priority:</w:t>
            </w:r>
            <w:r w:rsidRPr="00771904">
              <w:rPr>
                <w:rFonts w:cs="Arial"/>
                <w:b/>
                <w:sz w:val="20"/>
              </w:rPr>
              <w:t xml:space="preserve"> Effective General Supervision Part C / Child Find</w:t>
            </w:r>
          </w:p>
        </w:tc>
      </w:tr>
      <w:tr w:rsidR="005508F3" w:rsidRPr="00771904" w:rsidTr="00C47124">
        <w:trPr>
          <w:trHeight w:val="701"/>
        </w:trPr>
        <w:tc>
          <w:tcPr>
            <w:tcW w:w="9648" w:type="dxa"/>
            <w:vAlign w:val="center"/>
          </w:tcPr>
          <w:p w:rsidR="005508F3" w:rsidRPr="00771904" w:rsidRDefault="005508F3" w:rsidP="005508F3">
            <w:pPr>
              <w:pStyle w:val="Header"/>
              <w:tabs>
                <w:tab w:val="clear" w:pos="4320"/>
                <w:tab w:val="clear" w:pos="8640"/>
              </w:tabs>
              <w:ind w:left="392" w:hanging="392"/>
              <w:rPr>
                <w:rFonts w:cs="Arial"/>
                <w:sz w:val="20"/>
              </w:rPr>
            </w:pPr>
            <w:r w:rsidRPr="00771904">
              <w:rPr>
                <w:rFonts w:cs="Arial"/>
                <w:b/>
                <w:sz w:val="20"/>
                <w:szCs w:val="20"/>
              </w:rPr>
              <w:t xml:space="preserve">Indicator 6: </w:t>
            </w:r>
            <w:r w:rsidRPr="00771904">
              <w:rPr>
                <w:rFonts w:cs="Arial"/>
              </w:rPr>
              <w:t xml:space="preserve"> </w:t>
            </w:r>
            <w:r w:rsidRPr="00771904">
              <w:rPr>
                <w:rFonts w:cs="Arial"/>
                <w:sz w:val="20"/>
              </w:rPr>
              <w:t>Percent of infants and toddlers birth to 3 with IFSPs compared to national data.</w:t>
            </w:r>
          </w:p>
          <w:p w:rsidR="005508F3" w:rsidRPr="00771904" w:rsidRDefault="005508F3" w:rsidP="005508F3">
            <w:pPr>
              <w:ind w:left="1440" w:hanging="1440"/>
              <w:rPr>
                <w:rFonts w:cs="Arial"/>
                <w:sz w:val="20"/>
              </w:rPr>
            </w:pPr>
            <w:r w:rsidRPr="00771904">
              <w:rPr>
                <w:rFonts w:cs="Arial"/>
                <w:sz w:val="20"/>
              </w:rPr>
              <w:t>(20 U.S.C. 1416(a)(3)(B) and 1442)</w:t>
            </w:r>
          </w:p>
        </w:tc>
      </w:tr>
    </w:tbl>
    <w:p w:rsidR="008F3F44" w:rsidRPr="00771904" w:rsidRDefault="008F3F44" w:rsidP="008F3F44">
      <w:pPr>
        <w:rPr>
          <w:rFonts w:cs="Arial"/>
          <w:b/>
          <w:sz w:val="10"/>
          <w:szCs w:val="10"/>
        </w:rPr>
      </w:pPr>
      <w:bookmarkStart w:id="8" w:name="ind6"/>
      <w:bookmarkEnd w:id="8"/>
    </w:p>
    <w:p w:rsidR="008F3F44" w:rsidRPr="00771904" w:rsidRDefault="008F3F44" w:rsidP="008F3F44">
      <w:pPr>
        <w:rPr>
          <w:rFonts w:cs="Arial"/>
          <w:b/>
          <w:sz w:val="10"/>
          <w:szCs w:val="1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00"/>
      </w:tblGrid>
      <w:tr w:rsidR="006E74E4" w:rsidRPr="00771904" w:rsidTr="005508F3">
        <w:tc>
          <w:tcPr>
            <w:tcW w:w="9630" w:type="dxa"/>
            <w:gridSpan w:val="2"/>
          </w:tcPr>
          <w:p w:rsidR="006E74E4" w:rsidRPr="00771904" w:rsidRDefault="006E74E4" w:rsidP="008F3F44">
            <w:pPr>
              <w:pStyle w:val="BodyText"/>
              <w:ind w:left="296" w:hanging="296"/>
              <w:rPr>
                <w:rFonts w:cs="Arial"/>
                <w:b w:val="0"/>
                <w:sz w:val="20"/>
                <w:u w:val="none"/>
              </w:rPr>
            </w:pPr>
            <w:r w:rsidRPr="00771904">
              <w:rPr>
                <w:rFonts w:cs="Arial"/>
                <w:bCs/>
                <w:sz w:val="20"/>
                <w:u w:val="none"/>
              </w:rPr>
              <w:t>Measurement:</w:t>
            </w:r>
            <w:r w:rsidRPr="00771904">
              <w:rPr>
                <w:rFonts w:cs="Arial"/>
                <w:b w:val="0"/>
                <w:sz w:val="20"/>
                <w:u w:val="none"/>
              </w:rPr>
              <w:t xml:space="preserve"> </w:t>
            </w:r>
          </w:p>
          <w:p w:rsidR="006E74E4" w:rsidRPr="00771904" w:rsidRDefault="00651FA6" w:rsidP="008F3F44">
            <w:pPr>
              <w:pStyle w:val="BodyText"/>
              <w:ind w:left="296" w:hanging="296"/>
              <w:rPr>
                <w:rFonts w:cs="Arial"/>
                <w:b w:val="0"/>
                <w:bCs/>
                <w:sz w:val="20"/>
                <w:u w:val="none"/>
              </w:rPr>
            </w:pPr>
            <w:r w:rsidRPr="00771904">
              <w:rPr>
                <w:rFonts w:cs="Arial"/>
                <w:b w:val="0"/>
                <w:sz w:val="20"/>
                <w:u w:val="none"/>
              </w:rPr>
              <w:t>Percent = [(# of infants and toddler birth to 3 with IFSPs) divided by the (population of infants and toddlers birth to 3)] times 100 compared to national data.</w:t>
            </w:r>
          </w:p>
        </w:tc>
      </w:tr>
      <w:tr w:rsidR="006E74E4" w:rsidRPr="00771904" w:rsidTr="005508F3">
        <w:trPr>
          <w:trHeight w:val="386"/>
        </w:trPr>
        <w:tc>
          <w:tcPr>
            <w:tcW w:w="1530" w:type="dxa"/>
            <w:vAlign w:val="center"/>
          </w:tcPr>
          <w:p w:rsidR="006E74E4" w:rsidRPr="00771904" w:rsidRDefault="005B1B42" w:rsidP="006F16EB">
            <w:pPr>
              <w:jc w:val="center"/>
              <w:rPr>
                <w:rFonts w:cs="Arial"/>
                <w:b/>
                <w:sz w:val="20"/>
                <w:szCs w:val="20"/>
                <w:shd w:val="pct20" w:color="auto" w:fill="auto"/>
              </w:rPr>
            </w:pPr>
            <w:r w:rsidRPr="00771904">
              <w:rPr>
                <w:rFonts w:cs="Arial"/>
                <w:b/>
                <w:sz w:val="20"/>
                <w:szCs w:val="20"/>
              </w:rPr>
              <w:t>FFY1</w:t>
            </w:r>
            <w:r w:rsidR="006F16EB" w:rsidRPr="00771904">
              <w:rPr>
                <w:rFonts w:cs="Arial"/>
                <w:b/>
                <w:sz w:val="20"/>
                <w:szCs w:val="20"/>
              </w:rPr>
              <w:t>2</w:t>
            </w:r>
          </w:p>
        </w:tc>
        <w:tc>
          <w:tcPr>
            <w:tcW w:w="8100" w:type="dxa"/>
            <w:vAlign w:val="center"/>
          </w:tcPr>
          <w:p w:rsidR="006E74E4" w:rsidRPr="00771904" w:rsidRDefault="006E74E4" w:rsidP="005508F3">
            <w:pPr>
              <w:jc w:val="center"/>
              <w:rPr>
                <w:rFonts w:cs="Arial"/>
                <w:b/>
                <w:sz w:val="20"/>
                <w:szCs w:val="20"/>
              </w:rPr>
            </w:pPr>
            <w:r w:rsidRPr="00771904">
              <w:rPr>
                <w:rFonts w:cs="Arial"/>
                <w:b/>
                <w:sz w:val="20"/>
                <w:szCs w:val="20"/>
              </w:rPr>
              <w:t>Measurable and Rigorous Target</w:t>
            </w:r>
          </w:p>
        </w:tc>
      </w:tr>
      <w:tr w:rsidR="006E74E4" w:rsidRPr="00771904" w:rsidTr="005508F3">
        <w:trPr>
          <w:trHeight w:val="602"/>
        </w:trPr>
        <w:tc>
          <w:tcPr>
            <w:tcW w:w="1530" w:type="dxa"/>
          </w:tcPr>
          <w:p w:rsidR="006E74E4" w:rsidRPr="00771904" w:rsidRDefault="002A6A91" w:rsidP="008F3F44">
            <w:pPr>
              <w:jc w:val="center"/>
              <w:rPr>
                <w:rFonts w:cs="Arial"/>
                <w:i/>
                <w:szCs w:val="22"/>
              </w:rPr>
            </w:pPr>
            <w:r w:rsidRPr="00771904">
              <w:rPr>
                <w:rFonts w:cs="Arial"/>
                <w:i/>
                <w:szCs w:val="22"/>
              </w:rPr>
              <w:t>7/1/12-6/30/13</w:t>
            </w:r>
          </w:p>
        </w:tc>
        <w:tc>
          <w:tcPr>
            <w:tcW w:w="8100" w:type="dxa"/>
            <w:vAlign w:val="center"/>
          </w:tcPr>
          <w:p w:rsidR="006E74E4" w:rsidRPr="00771904" w:rsidRDefault="006E74E4" w:rsidP="00F628B1">
            <w:pPr>
              <w:jc w:val="center"/>
              <w:rPr>
                <w:rFonts w:cs="Arial"/>
                <w:i/>
                <w:szCs w:val="22"/>
              </w:rPr>
            </w:pPr>
            <w:r w:rsidRPr="00771904">
              <w:rPr>
                <w:rFonts w:cs="Arial"/>
                <w:i/>
                <w:szCs w:val="22"/>
              </w:rPr>
              <w:t>3.1</w:t>
            </w:r>
            <w:r w:rsidR="00F628B1" w:rsidRPr="00771904">
              <w:rPr>
                <w:rFonts w:cs="Arial"/>
                <w:i/>
                <w:szCs w:val="22"/>
              </w:rPr>
              <w:t>9</w:t>
            </w:r>
            <w:r w:rsidRPr="00771904">
              <w:rPr>
                <w:rFonts w:cs="Arial"/>
                <w:i/>
                <w:szCs w:val="22"/>
              </w:rPr>
              <w:t>%</w:t>
            </w:r>
          </w:p>
        </w:tc>
      </w:tr>
    </w:tbl>
    <w:p w:rsidR="008F3F44" w:rsidRPr="00771904" w:rsidRDefault="008F3F44" w:rsidP="008F3F44">
      <w:pPr>
        <w:rPr>
          <w:rFonts w:cs="Arial"/>
          <w:b/>
          <w:sz w:val="10"/>
          <w:szCs w:val="10"/>
        </w:rPr>
      </w:pPr>
    </w:p>
    <w:p w:rsidR="006E74E4" w:rsidRPr="00771904" w:rsidRDefault="00CD5F8A" w:rsidP="008F3F44">
      <w:pPr>
        <w:rPr>
          <w:rFonts w:cs="Arial"/>
          <w:b/>
          <w:sz w:val="20"/>
          <w:szCs w:val="20"/>
        </w:rPr>
      </w:pPr>
      <w:r w:rsidRPr="00771904">
        <w:rPr>
          <w:rFonts w:cs="Arial"/>
          <w:b/>
          <w:szCs w:val="20"/>
        </w:rPr>
        <w:t xml:space="preserve">Actual Target Data for </w:t>
      </w:r>
      <w:r w:rsidR="005B1B42" w:rsidRPr="00771904">
        <w:rPr>
          <w:rFonts w:cs="Arial"/>
          <w:b/>
          <w:szCs w:val="20"/>
        </w:rPr>
        <w:t>FFY1</w:t>
      </w:r>
      <w:r w:rsidR="006F16EB" w:rsidRPr="00771904">
        <w:rPr>
          <w:rFonts w:cs="Arial"/>
          <w:b/>
          <w:szCs w:val="20"/>
        </w:rPr>
        <w:t>2</w:t>
      </w:r>
      <w:r w:rsidRPr="00771904">
        <w:rPr>
          <w:rFonts w:cs="Arial"/>
          <w:b/>
          <w:szCs w:val="20"/>
        </w:rPr>
        <w:t xml:space="preserve"> </w:t>
      </w:r>
      <w:r w:rsidR="00FC6703" w:rsidRPr="00771904">
        <w:rPr>
          <w:rFonts w:cs="Arial"/>
          <w:b/>
          <w:szCs w:val="20"/>
        </w:rPr>
        <w:t>(</w:t>
      </w:r>
      <w:r w:rsidR="005B1B42" w:rsidRPr="00771904">
        <w:rPr>
          <w:rFonts w:cs="Arial"/>
          <w:b/>
          <w:szCs w:val="20"/>
        </w:rPr>
        <w:t>July 1, 201</w:t>
      </w:r>
      <w:r w:rsidR="006F16EB" w:rsidRPr="00771904">
        <w:rPr>
          <w:rFonts w:cs="Arial"/>
          <w:b/>
          <w:szCs w:val="20"/>
        </w:rPr>
        <w:t>2</w:t>
      </w:r>
      <w:r w:rsidR="005B1B42" w:rsidRPr="00771904">
        <w:rPr>
          <w:rFonts w:cs="Arial"/>
          <w:b/>
          <w:szCs w:val="20"/>
        </w:rPr>
        <w:t>-June 30, 201</w:t>
      </w:r>
      <w:r w:rsidR="006F16EB" w:rsidRPr="00771904">
        <w:rPr>
          <w:rFonts w:cs="Arial"/>
          <w:b/>
          <w:szCs w:val="20"/>
        </w:rPr>
        <w:t>3</w:t>
      </w:r>
      <w:r w:rsidR="00FC6703" w:rsidRPr="00771904">
        <w:rPr>
          <w:rFonts w:cs="Arial"/>
          <w:b/>
          <w:szCs w:val="20"/>
        </w:rPr>
        <w:t>):</w:t>
      </w:r>
    </w:p>
    <w:p w:rsidR="008F3F44" w:rsidRPr="00771904" w:rsidRDefault="008F3F44" w:rsidP="008F3F44">
      <w:pPr>
        <w:rPr>
          <w:rFonts w:cs="Arial"/>
          <w:b/>
          <w:sz w:val="10"/>
          <w:szCs w:val="10"/>
        </w:rPr>
      </w:pPr>
    </w:p>
    <w:tbl>
      <w:tblPr>
        <w:tblW w:w="5038" w:type="pct"/>
        <w:tblLayout w:type="fixed"/>
        <w:tblLook w:val="0000" w:firstRow="0" w:lastRow="0" w:firstColumn="0" w:lastColumn="0" w:noHBand="0" w:noVBand="0"/>
      </w:tblPr>
      <w:tblGrid>
        <w:gridCol w:w="3307"/>
        <w:gridCol w:w="1816"/>
        <w:gridCol w:w="2615"/>
        <w:gridCol w:w="1911"/>
      </w:tblGrid>
      <w:tr w:rsidR="006E74E4" w:rsidRPr="00771904" w:rsidTr="00602EE8">
        <w:tc>
          <w:tcPr>
            <w:tcW w:w="5000" w:type="pct"/>
            <w:gridSpan w:val="4"/>
            <w:tcBorders>
              <w:top w:val="single" w:sz="4" w:space="0" w:color="auto"/>
              <w:left w:val="single" w:sz="4" w:space="0" w:color="auto"/>
              <w:bottom w:val="single" w:sz="4" w:space="0" w:color="auto"/>
              <w:right w:val="single" w:sz="4" w:space="0" w:color="000000"/>
            </w:tcBorders>
            <w:noWrap/>
            <w:vAlign w:val="center"/>
          </w:tcPr>
          <w:p w:rsidR="006E74E4" w:rsidRPr="00771904" w:rsidRDefault="006E74E4">
            <w:pPr>
              <w:jc w:val="center"/>
              <w:rPr>
                <w:rFonts w:cs="Arial"/>
                <w:szCs w:val="22"/>
              </w:rPr>
            </w:pPr>
            <w:r w:rsidRPr="00771904">
              <w:rPr>
                <w:rFonts w:cs="Arial"/>
                <w:szCs w:val="22"/>
              </w:rPr>
              <w:t>A.1.  AGE AND RACE/ETHNICITY OF INFANTS AND TODDLERS, AGES BIRTH THROUGH 2</w:t>
            </w:r>
          </w:p>
          <w:p w:rsidR="00D424A2" w:rsidRPr="00771904" w:rsidRDefault="00D424A2">
            <w:pPr>
              <w:jc w:val="center"/>
              <w:rPr>
                <w:rFonts w:cs="Arial"/>
                <w:szCs w:val="22"/>
              </w:rPr>
            </w:pPr>
            <w:r w:rsidRPr="00771904">
              <w:rPr>
                <w:rFonts w:cs="Arial"/>
                <w:szCs w:val="22"/>
              </w:rPr>
              <w:t>WITH AN IFSP ON 12/1/12 (</w:t>
            </w:r>
            <w:hyperlink r:id="rId26" w:history="1">
              <w:r w:rsidRPr="00771904">
                <w:rPr>
                  <w:rStyle w:val="Hyperlink"/>
                  <w:rFonts w:cs="Arial"/>
                  <w:szCs w:val="22"/>
                </w:rPr>
                <w:t>http://tadnet.public.tadnet.org/pages/712</w:t>
              </w:r>
            </w:hyperlink>
            <w:r w:rsidRPr="00771904">
              <w:rPr>
                <w:rFonts w:cs="Arial"/>
                <w:szCs w:val="22"/>
              </w:rPr>
              <w:t xml:space="preserve">) </w:t>
            </w:r>
          </w:p>
        </w:tc>
      </w:tr>
      <w:tr w:rsidR="006E74E4" w:rsidRPr="00771904" w:rsidTr="00602EE8">
        <w:trPr>
          <w:trHeight w:val="580"/>
        </w:trPr>
        <w:tc>
          <w:tcPr>
            <w:tcW w:w="1714" w:type="pct"/>
            <w:tcBorders>
              <w:top w:val="nil"/>
              <w:left w:val="single" w:sz="4" w:space="0" w:color="auto"/>
              <w:right w:val="nil"/>
            </w:tcBorders>
            <w:noWrap/>
            <w:vAlign w:val="center"/>
          </w:tcPr>
          <w:p w:rsidR="006E74E4" w:rsidRPr="00771904" w:rsidRDefault="006E74E4">
            <w:pPr>
              <w:jc w:val="center"/>
              <w:rPr>
                <w:rFonts w:cs="Arial"/>
                <w:szCs w:val="22"/>
              </w:rPr>
            </w:pPr>
          </w:p>
        </w:tc>
        <w:tc>
          <w:tcPr>
            <w:tcW w:w="941" w:type="pct"/>
            <w:tcBorders>
              <w:top w:val="nil"/>
              <w:left w:val="single" w:sz="4" w:space="0" w:color="auto"/>
              <w:right w:val="single" w:sz="4" w:space="0" w:color="auto"/>
            </w:tcBorders>
            <w:noWrap/>
            <w:vAlign w:val="center"/>
          </w:tcPr>
          <w:p w:rsidR="006E74E4" w:rsidRPr="00771904" w:rsidRDefault="006E74E4">
            <w:pPr>
              <w:jc w:val="center"/>
              <w:rPr>
                <w:rFonts w:cs="Arial"/>
                <w:szCs w:val="22"/>
              </w:rPr>
            </w:pPr>
            <w:r w:rsidRPr="00771904">
              <w:rPr>
                <w:rFonts w:cs="Arial"/>
                <w:szCs w:val="22"/>
              </w:rPr>
              <w:t>Total</w:t>
            </w:r>
          </w:p>
        </w:tc>
        <w:tc>
          <w:tcPr>
            <w:tcW w:w="1355" w:type="pct"/>
            <w:tcBorders>
              <w:top w:val="nil"/>
              <w:left w:val="single" w:sz="4" w:space="0" w:color="auto"/>
              <w:right w:val="single" w:sz="4" w:space="0" w:color="auto"/>
            </w:tcBorders>
            <w:noWrap/>
            <w:vAlign w:val="center"/>
          </w:tcPr>
          <w:p w:rsidR="006E74E4" w:rsidRPr="00771904" w:rsidRDefault="00602EE8">
            <w:pPr>
              <w:jc w:val="center"/>
              <w:rPr>
                <w:rFonts w:cs="Arial"/>
                <w:szCs w:val="22"/>
              </w:rPr>
            </w:pPr>
            <w:r w:rsidRPr="00771904">
              <w:rPr>
                <w:rFonts w:cs="Arial"/>
                <w:szCs w:val="22"/>
              </w:rPr>
              <w:t xml:space="preserve">2012 </w:t>
            </w:r>
            <w:r w:rsidR="006E74E4" w:rsidRPr="00771904">
              <w:rPr>
                <w:rFonts w:cs="Arial"/>
                <w:szCs w:val="22"/>
              </w:rPr>
              <w:t>Census Population</w:t>
            </w:r>
            <w:r w:rsidR="006E74E4" w:rsidRPr="00771904">
              <w:rPr>
                <w:rFonts w:cs="Arial"/>
                <w:szCs w:val="22"/>
              </w:rPr>
              <w:br/>
            </w:r>
            <w:r w:rsidRPr="00771904">
              <w:rPr>
                <w:rFonts w:cs="Arial"/>
                <w:szCs w:val="22"/>
              </w:rPr>
              <w:t xml:space="preserve">Estimate Ages </w:t>
            </w:r>
            <w:r w:rsidR="006E74E4" w:rsidRPr="00771904">
              <w:rPr>
                <w:rFonts w:cs="Arial"/>
                <w:szCs w:val="22"/>
              </w:rPr>
              <w:t>0+1+2</w:t>
            </w:r>
            <w:r w:rsidRPr="00771904">
              <w:rPr>
                <w:rFonts w:cs="Arial"/>
                <w:szCs w:val="22"/>
              </w:rPr>
              <w:t>*</w:t>
            </w:r>
          </w:p>
        </w:tc>
        <w:tc>
          <w:tcPr>
            <w:tcW w:w="990" w:type="pct"/>
            <w:tcBorders>
              <w:top w:val="nil"/>
              <w:left w:val="single" w:sz="4" w:space="0" w:color="auto"/>
              <w:right w:val="single" w:sz="4" w:space="0" w:color="auto"/>
            </w:tcBorders>
            <w:vAlign w:val="center"/>
          </w:tcPr>
          <w:p w:rsidR="006E74E4" w:rsidRPr="00771904" w:rsidRDefault="006E74E4">
            <w:pPr>
              <w:jc w:val="center"/>
              <w:rPr>
                <w:rFonts w:cs="Arial"/>
                <w:szCs w:val="22"/>
              </w:rPr>
            </w:pPr>
            <w:r w:rsidRPr="00771904">
              <w:rPr>
                <w:rFonts w:cs="Arial"/>
                <w:szCs w:val="22"/>
              </w:rPr>
              <w:t>Percent of Population</w:t>
            </w:r>
          </w:p>
        </w:tc>
      </w:tr>
      <w:tr w:rsidR="006E74E4" w:rsidRPr="00771904" w:rsidTr="00602EE8">
        <w:trPr>
          <w:trHeight w:val="360"/>
        </w:trPr>
        <w:tc>
          <w:tcPr>
            <w:tcW w:w="1714" w:type="pct"/>
            <w:tcBorders>
              <w:top w:val="nil"/>
              <w:left w:val="single" w:sz="4" w:space="0" w:color="auto"/>
              <w:bottom w:val="single" w:sz="4" w:space="0" w:color="auto"/>
              <w:right w:val="nil"/>
            </w:tcBorders>
            <w:noWrap/>
            <w:vAlign w:val="center"/>
          </w:tcPr>
          <w:p w:rsidR="006E74E4" w:rsidRPr="00771904" w:rsidRDefault="006E74E4">
            <w:pPr>
              <w:rPr>
                <w:rFonts w:cs="Arial"/>
                <w:szCs w:val="22"/>
              </w:rPr>
            </w:pPr>
            <w:r w:rsidRPr="00771904">
              <w:rPr>
                <w:rFonts w:cs="Arial"/>
                <w:szCs w:val="22"/>
              </w:rPr>
              <w:t>TOTAL</w:t>
            </w:r>
          </w:p>
        </w:tc>
        <w:tc>
          <w:tcPr>
            <w:tcW w:w="941" w:type="pct"/>
            <w:tcBorders>
              <w:top w:val="nil"/>
              <w:left w:val="single" w:sz="4" w:space="0" w:color="auto"/>
              <w:bottom w:val="single" w:sz="4" w:space="0" w:color="auto"/>
              <w:right w:val="single" w:sz="4" w:space="0" w:color="auto"/>
            </w:tcBorders>
            <w:noWrap/>
            <w:vAlign w:val="center"/>
          </w:tcPr>
          <w:p w:rsidR="006E74E4" w:rsidRPr="00771904" w:rsidRDefault="005C5643" w:rsidP="006F16EB">
            <w:pPr>
              <w:jc w:val="center"/>
              <w:rPr>
                <w:rFonts w:cs="Arial"/>
                <w:szCs w:val="22"/>
                <w:highlight w:val="yellow"/>
              </w:rPr>
            </w:pPr>
            <w:r w:rsidRPr="00771904">
              <w:rPr>
                <w:rFonts w:cs="Arial"/>
                <w:color w:val="000000"/>
                <w:szCs w:val="22"/>
              </w:rPr>
              <w:t>44</w:t>
            </w:r>
            <w:r w:rsidR="006F16EB" w:rsidRPr="00771904">
              <w:rPr>
                <w:rFonts w:cs="Arial"/>
                <w:color w:val="000000"/>
                <w:szCs w:val="22"/>
              </w:rPr>
              <w:t>10</w:t>
            </w:r>
          </w:p>
        </w:tc>
        <w:tc>
          <w:tcPr>
            <w:tcW w:w="1355" w:type="pct"/>
            <w:tcBorders>
              <w:top w:val="nil"/>
              <w:left w:val="nil"/>
              <w:bottom w:val="single" w:sz="4" w:space="0" w:color="auto"/>
              <w:right w:val="single" w:sz="4" w:space="0" w:color="auto"/>
            </w:tcBorders>
            <w:noWrap/>
            <w:vAlign w:val="center"/>
          </w:tcPr>
          <w:p w:rsidR="006E74E4" w:rsidRPr="00771904" w:rsidRDefault="00FD421B" w:rsidP="0044423B">
            <w:pPr>
              <w:jc w:val="center"/>
              <w:rPr>
                <w:rFonts w:cs="Arial"/>
                <w:szCs w:val="22"/>
                <w:highlight w:val="yellow"/>
              </w:rPr>
            </w:pPr>
            <w:r w:rsidRPr="00771904">
              <w:rPr>
                <w:rFonts w:cs="Arial"/>
                <w:szCs w:val="22"/>
              </w:rPr>
              <w:t>113</w:t>
            </w:r>
            <w:r w:rsidR="0018291F" w:rsidRPr="00771904">
              <w:rPr>
                <w:rFonts w:cs="Arial"/>
                <w:szCs w:val="22"/>
              </w:rPr>
              <w:t>,</w:t>
            </w:r>
            <w:r w:rsidRPr="00771904">
              <w:rPr>
                <w:rFonts w:cs="Arial"/>
                <w:szCs w:val="22"/>
              </w:rPr>
              <w:t>201</w:t>
            </w:r>
          </w:p>
        </w:tc>
        <w:tc>
          <w:tcPr>
            <w:tcW w:w="990" w:type="pct"/>
            <w:tcBorders>
              <w:top w:val="nil"/>
              <w:left w:val="nil"/>
              <w:bottom w:val="single" w:sz="4" w:space="0" w:color="auto"/>
              <w:right w:val="single" w:sz="4" w:space="0" w:color="auto"/>
            </w:tcBorders>
            <w:vAlign w:val="center"/>
          </w:tcPr>
          <w:p w:rsidR="006E74E4" w:rsidRPr="00771904" w:rsidRDefault="00A1523C" w:rsidP="00E43227">
            <w:pPr>
              <w:jc w:val="center"/>
              <w:rPr>
                <w:rFonts w:cs="Arial"/>
                <w:szCs w:val="22"/>
                <w:highlight w:val="yellow"/>
              </w:rPr>
            </w:pPr>
            <w:r w:rsidRPr="00771904">
              <w:rPr>
                <w:rFonts w:cs="Arial"/>
                <w:szCs w:val="22"/>
              </w:rPr>
              <w:t>3.9</w:t>
            </w:r>
            <w:r w:rsidR="006E74E4" w:rsidRPr="00771904">
              <w:rPr>
                <w:rFonts w:cs="Arial"/>
                <w:szCs w:val="22"/>
              </w:rPr>
              <w:t>%</w:t>
            </w:r>
          </w:p>
        </w:tc>
      </w:tr>
    </w:tbl>
    <w:p w:rsidR="007C24E6" w:rsidRPr="00771904" w:rsidRDefault="00D424A2" w:rsidP="007C24E6">
      <w:pPr>
        <w:pStyle w:val="StyleLeft025"/>
        <w:ind w:left="0"/>
        <w:rPr>
          <w:rFonts w:cs="Arial"/>
          <w:color w:val="000000" w:themeColor="text1"/>
          <w:sz w:val="20"/>
        </w:rPr>
      </w:pPr>
      <w:r w:rsidRPr="00771904">
        <w:rPr>
          <w:rFonts w:cs="Arial"/>
          <w:color w:val="000000" w:themeColor="text1"/>
          <w:sz w:val="20"/>
        </w:rPr>
        <w:t>*Source: http://</w:t>
      </w:r>
      <w:r w:rsidR="007C24E6" w:rsidRPr="00771904">
        <w:rPr>
          <w:rFonts w:cs="Arial"/>
          <w:color w:val="000000" w:themeColor="text1"/>
          <w:sz w:val="20"/>
        </w:rPr>
        <w:t>factfinder2.census.gov/faces/tableservices/jsf/pages/productview.xhtml?src=bkmk</w:t>
      </w:r>
    </w:p>
    <w:p w:rsidR="004E0B65" w:rsidRPr="00771904" w:rsidRDefault="004E0B65" w:rsidP="009A7E7F">
      <w:pPr>
        <w:rPr>
          <w:rFonts w:cs="Arial"/>
          <w:color w:val="000000" w:themeColor="text1"/>
          <w:szCs w:val="22"/>
        </w:rPr>
      </w:pPr>
    </w:p>
    <w:p w:rsidR="009A7E7F" w:rsidRPr="00771904" w:rsidRDefault="009A7E7F" w:rsidP="009A7E7F">
      <w:pPr>
        <w:rPr>
          <w:rFonts w:cs="Arial"/>
          <w:color w:val="000000" w:themeColor="text1"/>
          <w:szCs w:val="22"/>
        </w:rPr>
      </w:pPr>
      <w:r w:rsidRPr="00771904">
        <w:rPr>
          <w:rFonts w:cs="Arial"/>
          <w:color w:val="000000" w:themeColor="text1"/>
          <w:szCs w:val="22"/>
        </w:rPr>
        <w:t xml:space="preserve">When compared to national data, Connecticut ranks </w:t>
      </w:r>
      <w:r w:rsidR="00884C95" w:rsidRPr="00771904">
        <w:rPr>
          <w:rFonts w:cs="Arial"/>
          <w:color w:val="000000" w:themeColor="text1"/>
          <w:szCs w:val="22"/>
        </w:rPr>
        <w:t>11</w:t>
      </w:r>
      <w:r w:rsidR="00884C95" w:rsidRPr="00771904">
        <w:rPr>
          <w:rFonts w:cs="Arial"/>
          <w:color w:val="000000" w:themeColor="text1"/>
          <w:szCs w:val="22"/>
          <w:vertAlign w:val="superscript"/>
        </w:rPr>
        <w:t>th</w:t>
      </w:r>
      <w:r w:rsidR="00884C95" w:rsidRPr="00771904">
        <w:rPr>
          <w:rFonts w:cs="Arial"/>
          <w:color w:val="000000" w:themeColor="text1"/>
          <w:szCs w:val="22"/>
        </w:rPr>
        <w:t xml:space="preserve"> </w:t>
      </w:r>
      <w:r w:rsidRPr="00771904">
        <w:rPr>
          <w:rFonts w:cs="Arial"/>
          <w:color w:val="000000" w:themeColor="text1"/>
          <w:szCs w:val="22"/>
        </w:rPr>
        <w:t xml:space="preserve">among the </w:t>
      </w:r>
      <w:r w:rsidR="00612E42" w:rsidRPr="00771904">
        <w:rPr>
          <w:rFonts w:cs="Arial"/>
          <w:color w:val="000000" w:themeColor="text1"/>
          <w:szCs w:val="22"/>
        </w:rPr>
        <w:t xml:space="preserve">50 states, D.C. and Puerto Rico </w:t>
      </w:r>
      <w:r w:rsidRPr="00771904">
        <w:rPr>
          <w:rFonts w:cs="Arial"/>
          <w:color w:val="000000" w:themeColor="text1"/>
        </w:rPr>
        <w:t>and is above the average</w:t>
      </w:r>
      <w:r w:rsidR="00612E42" w:rsidRPr="00771904">
        <w:rPr>
          <w:rFonts w:cs="Arial"/>
          <w:color w:val="000000" w:themeColor="text1"/>
        </w:rPr>
        <w:t xml:space="preserve"> of 2.77</w:t>
      </w:r>
      <w:r w:rsidRPr="00771904">
        <w:rPr>
          <w:rFonts w:cs="Arial"/>
          <w:color w:val="000000" w:themeColor="text1"/>
          <w:szCs w:val="22"/>
        </w:rPr>
        <w:t xml:space="preserve">.  </w:t>
      </w:r>
    </w:p>
    <w:p w:rsidR="009A7E7F" w:rsidRPr="00771904" w:rsidRDefault="009A7E7F" w:rsidP="009A7E7F">
      <w:pPr>
        <w:rPr>
          <w:rFonts w:cs="Arial"/>
          <w:szCs w:val="22"/>
        </w:rPr>
      </w:pPr>
    </w:p>
    <w:p w:rsidR="00CD5F8A" w:rsidRPr="00771904" w:rsidRDefault="00CD5F8A" w:rsidP="00CD5F8A">
      <w:pPr>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for </w:t>
      </w:r>
      <w:r w:rsidR="006F16EB" w:rsidRPr="00771904">
        <w:rPr>
          <w:rFonts w:cs="Arial"/>
          <w:b/>
          <w:szCs w:val="22"/>
        </w:rPr>
        <w:t>FFY12</w:t>
      </w:r>
      <w:r w:rsidR="00FC6703" w:rsidRPr="00771904">
        <w:rPr>
          <w:rFonts w:cs="Arial"/>
          <w:b/>
          <w:szCs w:val="22"/>
        </w:rPr>
        <w:t>:</w:t>
      </w:r>
    </w:p>
    <w:p w:rsidR="00F70350" w:rsidRPr="00771904" w:rsidRDefault="00F70350" w:rsidP="00F70350">
      <w:pPr>
        <w:rPr>
          <w:rFonts w:cs="Arial"/>
          <w:szCs w:val="22"/>
        </w:rPr>
      </w:pPr>
    </w:p>
    <w:p w:rsidR="00F70350" w:rsidRPr="00771904" w:rsidRDefault="00E41140" w:rsidP="00F70350">
      <w:pPr>
        <w:rPr>
          <w:rFonts w:cs="Arial"/>
          <w:szCs w:val="22"/>
        </w:rPr>
      </w:pPr>
      <w:r w:rsidRPr="00771904">
        <w:rPr>
          <w:rFonts w:cs="Arial"/>
          <w:szCs w:val="22"/>
        </w:rPr>
        <w:t xml:space="preserve">Pursuant to OSEP Memo </w:t>
      </w:r>
      <w:r w:rsidR="009C1E7C" w:rsidRPr="00771904">
        <w:rPr>
          <w:rFonts w:cs="Arial"/>
          <w:szCs w:val="22"/>
        </w:rPr>
        <w:t>14-3</w:t>
      </w:r>
      <w:r w:rsidRPr="00771904">
        <w:rPr>
          <w:rFonts w:cs="Arial"/>
          <w:szCs w:val="22"/>
        </w:rPr>
        <w:t xml:space="preserve">, Connecticut is not required to report on progress/slippage or improvement activities for this Indicator because </w:t>
      </w:r>
      <w:r w:rsidR="00192829" w:rsidRPr="00771904">
        <w:rPr>
          <w:rFonts w:cs="Arial"/>
          <w:szCs w:val="22"/>
        </w:rPr>
        <w:t>the State</w:t>
      </w:r>
      <w:r w:rsidRPr="00771904">
        <w:rPr>
          <w:rFonts w:cs="Arial"/>
          <w:szCs w:val="22"/>
        </w:rPr>
        <w:t xml:space="preserve"> has met its target.</w:t>
      </w:r>
    </w:p>
    <w:p w:rsidR="00E41140" w:rsidRPr="00771904" w:rsidRDefault="00E41140" w:rsidP="00F70350">
      <w:pPr>
        <w:rPr>
          <w:rFonts w:cs="Arial"/>
          <w:szCs w:val="22"/>
        </w:rPr>
      </w:pPr>
    </w:p>
    <w:p w:rsidR="00CD5F8A" w:rsidRPr="00771904" w:rsidRDefault="00CD5F8A" w:rsidP="00CD5F8A">
      <w:pPr>
        <w:pStyle w:val="StyleLeft025"/>
        <w:ind w:left="0"/>
        <w:rPr>
          <w:rFonts w:cs="Arial"/>
          <w:i/>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C02A8F" w:rsidRPr="00771904">
        <w:rPr>
          <w:rFonts w:cs="Arial"/>
          <w:b/>
          <w:szCs w:val="22"/>
        </w:rPr>
        <w:t xml:space="preserve">FFY12 </w:t>
      </w:r>
      <w:r w:rsidRPr="00771904">
        <w:rPr>
          <w:rFonts w:cs="Arial"/>
          <w:i/>
          <w:szCs w:val="22"/>
        </w:rPr>
        <w:t>[If applicable]</w:t>
      </w:r>
    </w:p>
    <w:p w:rsidR="00674799" w:rsidRPr="00771904" w:rsidRDefault="00674799" w:rsidP="00CD5F8A">
      <w:pPr>
        <w:pStyle w:val="StyleLeft025"/>
        <w:ind w:left="0"/>
        <w:rPr>
          <w:rFonts w:cs="Arial"/>
          <w:i/>
          <w:szCs w:val="22"/>
        </w:rPr>
      </w:pPr>
    </w:p>
    <w:p w:rsidR="00674799" w:rsidRPr="00771904" w:rsidRDefault="00BE35C2" w:rsidP="00CD5F8A">
      <w:pPr>
        <w:pStyle w:val="StyleLeft025"/>
        <w:ind w:left="0"/>
        <w:rPr>
          <w:rFonts w:cs="Arial"/>
          <w:szCs w:val="22"/>
        </w:rPr>
      </w:pPr>
      <w:r w:rsidRPr="00771904">
        <w:rPr>
          <w:rFonts w:cs="Arial"/>
          <w:szCs w:val="22"/>
        </w:rPr>
        <w:t>No revisions at this time</w:t>
      </w:r>
      <w:r w:rsidR="00674799" w:rsidRPr="00771904">
        <w:rPr>
          <w:rFonts w:cs="Arial"/>
          <w:szCs w:val="22"/>
        </w:rPr>
        <w:t xml:space="preserve">  </w:t>
      </w:r>
    </w:p>
    <w:p w:rsidR="00844F6D" w:rsidRPr="00771904" w:rsidRDefault="008B2646" w:rsidP="008B2646">
      <w:pPr>
        <w:spacing w:after="360"/>
        <w:rPr>
          <w:rFonts w:cs="Arial"/>
          <w:b/>
          <w:szCs w:val="22"/>
        </w:rPr>
      </w:pPr>
      <w:r w:rsidRPr="00771904">
        <w:rPr>
          <w:rFonts w:cs="Arial"/>
        </w:rPr>
        <w:br w:type="page"/>
      </w:r>
      <w:r w:rsidR="00844F6D" w:rsidRPr="00771904">
        <w:rPr>
          <w:rFonts w:cs="Arial"/>
          <w:b/>
          <w:szCs w:val="22"/>
        </w:rPr>
        <w:lastRenderedPageBreak/>
        <w:t xml:space="preserve">Part C State Annual Performance Report (APR) for Federal Fiscal Year </w:t>
      </w:r>
      <w:r w:rsidR="00205C4E" w:rsidRPr="00771904">
        <w:rPr>
          <w:rFonts w:cs="Arial"/>
          <w:b/>
          <w:szCs w:val="22"/>
        </w:rPr>
        <w:t>(FFY) 2012</w:t>
      </w:r>
    </w:p>
    <w:p w:rsidR="00844F6D" w:rsidRPr="00771904" w:rsidRDefault="00844F6D" w:rsidP="00844F6D">
      <w:pPr>
        <w:rPr>
          <w:rFonts w:cs="Arial"/>
          <w:b/>
          <w:iCs/>
          <w:szCs w:val="22"/>
        </w:rPr>
      </w:pPr>
      <w:r w:rsidRPr="00771904">
        <w:rPr>
          <w:rFonts w:cs="Arial"/>
          <w:b/>
          <w:iCs/>
          <w:szCs w:val="22"/>
        </w:rPr>
        <w:t>Overview of the Annual Performance Report Development:</w:t>
      </w:r>
    </w:p>
    <w:p w:rsidR="00844F6D" w:rsidRPr="00771904" w:rsidRDefault="00844F6D" w:rsidP="00844F6D">
      <w:pPr>
        <w:rPr>
          <w:rFonts w:cs="Arial"/>
          <w:iCs/>
          <w:szCs w:val="22"/>
        </w:rPr>
      </w:pPr>
      <w:r w:rsidRPr="00771904">
        <w:rPr>
          <w:rFonts w:cs="Arial"/>
          <w:iCs/>
          <w:szCs w:val="22"/>
        </w:rPr>
        <w:t>Same as described under Indicator #1</w:t>
      </w:r>
    </w:p>
    <w:p w:rsidR="00844F6D" w:rsidRPr="00771904" w:rsidRDefault="00844F6D" w:rsidP="00844F6D">
      <w:pPr>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F6D" w:rsidRPr="00771904" w:rsidTr="003070E1">
        <w:tc>
          <w:tcPr>
            <w:tcW w:w="9576" w:type="dxa"/>
          </w:tcPr>
          <w:p w:rsidR="00844F6D" w:rsidRPr="00771904" w:rsidRDefault="00844F6D" w:rsidP="003070E1">
            <w:pPr>
              <w:spacing w:before="240" w:after="240"/>
              <w:ind w:left="1980" w:hanging="1980"/>
              <w:rPr>
                <w:rFonts w:cs="Arial"/>
                <w:b/>
                <w:szCs w:val="22"/>
              </w:rPr>
            </w:pPr>
            <w:r w:rsidRPr="00771904">
              <w:rPr>
                <w:rFonts w:cs="Arial"/>
                <w:b/>
                <w:szCs w:val="22"/>
              </w:rPr>
              <w:t>Monitoring Priority: Effective General Supervision Part C / Child Find</w:t>
            </w:r>
          </w:p>
        </w:tc>
      </w:tr>
      <w:tr w:rsidR="005508F3" w:rsidRPr="00771904" w:rsidTr="003070E1">
        <w:tc>
          <w:tcPr>
            <w:tcW w:w="9576" w:type="dxa"/>
          </w:tcPr>
          <w:p w:rsidR="005508F3" w:rsidRPr="00771904" w:rsidRDefault="005508F3" w:rsidP="005508F3">
            <w:pPr>
              <w:pStyle w:val="Header"/>
              <w:tabs>
                <w:tab w:val="clear" w:pos="4320"/>
                <w:tab w:val="clear" w:pos="8640"/>
              </w:tabs>
              <w:ind w:left="1260" w:hanging="1268"/>
              <w:rPr>
                <w:rFonts w:cs="Arial"/>
                <w:b/>
                <w:szCs w:val="22"/>
              </w:rPr>
            </w:pPr>
            <w:r w:rsidRPr="00771904">
              <w:rPr>
                <w:rFonts w:cs="Arial"/>
                <w:b/>
                <w:szCs w:val="22"/>
              </w:rPr>
              <w:t>Indicator 7:</w:t>
            </w:r>
            <w:r w:rsidRPr="00771904">
              <w:rPr>
                <w:rFonts w:cs="Arial"/>
                <w:szCs w:val="22"/>
              </w:rPr>
              <w:t xml:space="preserve">  Percent of eligible infants and toddlers with IFSPs for whom an evaluation and assessment and an initial IFSP meeting were conducted within Part C’s 45-day timeline.    (20 U.S.C. 1416(a)(3)(B) and 1442)</w:t>
            </w:r>
          </w:p>
        </w:tc>
      </w:tr>
    </w:tbl>
    <w:p w:rsidR="00844F6D" w:rsidRPr="00771904" w:rsidRDefault="005508F3" w:rsidP="00674799">
      <w:pPr>
        <w:pStyle w:val="Header"/>
        <w:tabs>
          <w:tab w:val="clear" w:pos="4320"/>
          <w:tab w:val="clear" w:pos="8640"/>
        </w:tabs>
        <w:ind w:left="14" w:hanging="14"/>
        <w:rPr>
          <w:rFonts w:cs="Arial"/>
          <w:b/>
          <w:sz w:val="20"/>
          <w:szCs w:val="20"/>
        </w:rPr>
      </w:pPr>
      <w:bookmarkStart w:id="9" w:name="ind7"/>
      <w:bookmarkEnd w:id="9"/>
      <w:r w:rsidRPr="00771904">
        <w:rPr>
          <w:rFonts w:cs="Arial"/>
          <w:sz w:val="20"/>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844F6D" w:rsidRPr="00771904" w:rsidTr="003070E1">
        <w:tc>
          <w:tcPr>
            <w:tcW w:w="9558" w:type="dxa"/>
          </w:tcPr>
          <w:p w:rsidR="00844F6D" w:rsidRPr="00771904" w:rsidRDefault="00844F6D" w:rsidP="003070E1">
            <w:pPr>
              <w:pStyle w:val="Header"/>
              <w:tabs>
                <w:tab w:val="clear" w:pos="4320"/>
                <w:tab w:val="clear" w:pos="8640"/>
              </w:tabs>
              <w:spacing w:before="120" w:after="120"/>
              <w:ind w:left="-4"/>
              <w:rPr>
                <w:rFonts w:cs="Arial"/>
                <w:szCs w:val="22"/>
              </w:rPr>
            </w:pPr>
            <w:r w:rsidRPr="00771904">
              <w:rPr>
                <w:rFonts w:cs="Arial"/>
                <w:b/>
                <w:szCs w:val="22"/>
              </w:rPr>
              <w:t>Measurement:</w:t>
            </w:r>
            <w:r w:rsidRPr="00771904">
              <w:rPr>
                <w:rFonts w:cs="Arial"/>
                <w:szCs w:val="22"/>
              </w:rPr>
              <w:t xml:space="preserve"> </w:t>
            </w:r>
          </w:p>
          <w:p w:rsidR="00A61CE5" w:rsidRPr="00771904" w:rsidRDefault="00A61CE5" w:rsidP="00A61CE5">
            <w:pPr>
              <w:pStyle w:val="Header"/>
              <w:spacing w:before="120" w:after="120"/>
              <w:ind w:left="-4"/>
              <w:rPr>
                <w:rFonts w:cs="Arial"/>
                <w:szCs w:val="22"/>
              </w:rPr>
            </w:pPr>
            <w:r w:rsidRPr="00771904">
              <w:rPr>
                <w:rFonts w:cs="Arial"/>
                <w:szCs w:val="22"/>
              </w:rPr>
              <w:t xml:space="preserve">Percent = [(# of infants and toddlers with IFSPs for whom an initial evaluation and initial assessment and an initial IFSP meeting were conducted within Part C’s 45-day timeline) divided by the (# of infants and toddlers with IFSPs evaluated and assessed for whom an initial IFSP meeting was required to be conducted)] times 100.  </w:t>
            </w:r>
          </w:p>
          <w:p w:rsidR="00844F6D" w:rsidRPr="00771904" w:rsidRDefault="00A61CE5" w:rsidP="00A61CE5">
            <w:pPr>
              <w:spacing w:before="60" w:after="60"/>
              <w:rPr>
                <w:rFonts w:cs="Arial"/>
                <w:szCs w:val="22"/>
              </w:rPr>
            </w:pPr>
            <w:r w:rsidRPr="00771904">
              <w:rPr>
                <w:rFonts w:cs="Arial"/>
                <w:szCs w:val="22"/>
              </w:rPr>
              <w:t>Account for untimely evaluations, assessments, and initial IFSP meetings, including the reasons for delays.</w:t>
            </w:r>
          </w:p>
        </w:tc>
      </w:tr>
    </w:tbl>
    <w:p w:rsidR="00844F6D" w:rsidRPr="00771904" w:rsidRDefault="00844F6D" w:rsidP="00844F6D">
      <w:pPr>
        <w:rPr>
          <w:rFonts w:cs="Arial"/>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844F6D" w:rsidRPr="00771904" w:rsidTr="00844F6D">
        <w:trPr>
          <w:trHeight w:val="503"/>
        </w:trPr>
        <w:tc>
          <w:tcPr>
            <w:tcW w:w="1548" w:type="dxa"/>
            <w:vAlign w:val="center"/>
          </w:tcPr>
          <w:p w:rsidR="00844F6D" w:rsidRPr="00771904" w:rsidRDefault="00844F6D" w:rsidP="00844F6D">
            <w:pPr>
              <w:jc w:val="center"/>
              <w:rPr>
                <w:rFonts w:cs="Arial"/>
                <w:b/>
                <w:szCs w:val="22"/>
                <w:shd w:val="pct20" w:color="auto" w:fill="auto"/>
              </w:rPr>
            </w:pPr>
            <w:r w:rsidRPr="00771904">
              <w:rPr>
                <w:rFonts w:cs="Arial"/>
                <w:b/>
                <w:szCs w:val="22"/>
              </w:rPr>
              <w:t>FFY</w:t>
            </w:r>
            <w:r w:rsidR="00205C4E" w:rsidRPr="00771904">
              <w:rPr>
                <w:rFonts w:cs="Arial"/>
                <w:b/>
                <w:szCs w:val="22"/>
              </w:rPr>
              <w:t>12</w:t>
            </w:r>
          </w:p>
        </w:tc>
        <w:tc>
          <w:tcPr>
            <w:tcW w:w="8100" w:type="dxa"/>
            <w:vAlign w:val="center"/>
          </w:tcPr>
          <w:p w:rsidR="00844F6D" w:rsidRPr="00771904" w:rsidRDefault="00844F6D" w:rsidP="00844F6D">
            <w:pPr>
              <w:jc w:val="center"/>
              <w:rPr>
                <w:rFonts w:cs="Arial"/>
                <w:b/>
                <w:szCs w:val="22"/>
              </w:rPr>
            </w:pPr>
            <w:r w:rsidRPr="00771904">
              <w:rPr>
                <w:rFonts w:cs="Arial"/>
                <w:b/>
                <w:szCs w:val="22"/>
              </w:rPr>
              <w:t>Measurable and Rigorous Target</w:t>
            </w:r>
          </w:p>
        </w:tc>
      </w:tr>
      <w:tr w:rsidR="00844F6D" w:rsidRPr="00771904" w:rsidTr="00844F6D">
        <w:trPr>
          <w:trHeight w:val="503"/>
        </w:trPr>
        <w:tc>
          <w:tcPr>
            <w:tcW w:w="1548" w:type="dxa"/>
            <w:vAlign w:val="center"/>
          </w:tcPr>
          <w:p w:rsidR="00844F6D" w:rsidRPr="00771904" w:rsidRDefault="002A6A91" w:rsidP="00844F6D">
            <w:pPr>
              <w:jc w:val="center"/>
              <w:rPr>
                <w:rFonts w:cs="Arial"/>
                <w:i/>
                <w:szCs w:val="22"/>
              </w:rPr>
            </w:pPr>
            <w:r w:rsidRPr="00771904">
              <w:rPr>
                <w:rFonts w:cs="Arial"/>
                <w:i/>
                <w:szCs w:val="22"/>
              </w:rPr>
              <w:t>7/1/12-6/30/13</w:t>
            </w:r>
          </w:p>
        </w:tc>
        <w:tc>
          <w:tcPr>
            <w:tcW w:w="8100" w:type="dxa"/>
            <w:vAlign w:val="center"/>
          </w:tcPr>
          <w:p w:rsidR="00844F6D" w:rsidRPr="00771904" w:rsidRDefault="00844F6D" w:rsidP="00844F6D">
            <w:pPr>
              <w:jc w:val="center"/>
              <w:rPr>
                <w:rFonts w:cs="Arial"/>
                <w:i/>
                <w:szCs w:val="22"/>
              </w:rPr>
            </w:pPr>
            <w:r w:rsidRPr="00771904">
              <w:rPr>
                <w:rFonts w:cs="Arial"/>
                <w:i/>
                <w:szCs w:val="22"/>
              </w:rPr>
              <w:t>100%</w:t>
            </w:r>
          </w:p>
        </w:tc>
      </w:tr>
    </w:tbl>
    <w:p w:rsidR="00844F6D" w:rsidRPr="00771904" w:rsidRDefault="00844F6D" w:rsidP="00844F6D">
      <w:pPr>
        <w:rPr>
          <w:rFonts w:cs="Arial"/>
          <w:b/>
          <w:color w:val="000000"/>
          <w:szCs w:val="22"/>
        </w:rPr>
      </w:pPr>
    </w:p>
    <w:p w:rsidR="00844F6D" w:rsidRPr="00771904" w:rsidRDefault="00844F6D" w:rsidP="00844F6D">
      <w:pPr>
        <w:rPr>
          <w:rFonts w:cs="Arial"/>
          <w:b/>
          <w:color w:val="000000"/>
          <w:szCs w:val="22"/>
        </w:rPr>
      </w:pPr>
      <w:r w:rsidRPr="00771904">
        <w:rPr>
          <w:rFonts w:cs="Arial"/>
          <w:b/>
          <w:color w:val="000000"/>
          <w:szCs w:val="22"/>
        </w:rPr>
        <w:t xml:space="preserve">Actual Target Data for </w:t>
      </w:r>
      <w:r w:rsidR="00205C4E" w:rsidRPr="00771904">
        <w:rPr>
          <w:rFonts w:cs="Arial"/>
          <w:b/>
          <w:color w:val="000000"/>
          <w:szCs w:val="22"/>
        </w:rPr>
        <w:t>FFY 2012</w:t>
      </w:r>
      <w:r w:rsidRPr="00771904">
        <w:rPr>
          <w:rFonts w:cs="Arial"/>
          <w:b/>
          <w:color w:val="000000"/>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44F6D" w:rsidRPr="00771904" w:rsidTr="003070E1">
        <w:tc>
          <w:tcPr>
            <w:tcW w:w="9648" w:type="dxa"/>
          </w:tcPr>
          <w:p w:rsidR="000713C9" w:rsidRPr="00771904" w:rsidRDefault="009B166D" w:rsidP="000713C9">
            <w:pPr>
              <w:ind w:right="-144"/>
              <w:jc w:val="center"/>
              <w:rPr>
                <w:rFonts w:cs="Arial"/>
                <w:i/>
                <w:color w:val="000000" w:themeColor="text1"/>
                <w:szCs w:val="20"/>
              </w:rPr>
            </w:pPr>
            <w:r w:rsidRPr="00771904">
              <w:rPr>
                <w:rFonts w:cs="Arial"/>
                <w:i/>
                <w:color w:val="000000"/>
                <w:szCs w:val="22"/>
              </w:rPr>
              <w:t>100.0%</w:t>
            </w:r>
          </w:p>
          <w:p w:rsidR="00844F6D" w:rsidRPr="00771904" w:rsidRDefault="000713C9" w:rsidP="000713C9">
            <w:pPr>
              <w:ind w:right="-144"/>
              <w:jc w:val="center"/>
              <w:rPr>
                <w:rFonts w:cs="Arial"/>
                <w:i/>
                <w:color w:val="000000" w:themeColor="text1"/>
                <w:szCs w:val="20"/>
              </w:rPr>
            </w:pPr>
            <w:r w:rsidRPr="00771904">
              <w:rPr>
                <w:rFonts w:cs="Arial"/>
                <w:i/>
                <w:color w:val="000000" w:themeColor="text1"/>
                <w:szCs w:val="20"/>
              </w:rPr>
              <w:t>State Met Target</w:t>
            </w:r>
          </w:p>
        </w:tc>
      </w:tr>
    </w:tbl>
    <w:p w:rsidR="00844F6D" w:rsidRPr="00771904" w:rsidRDefault="00844F6D" w:rsidP="00844F6D">
      <w:pPr>
        <w:rPr>
          <w:rFonts w:cs="Arial"/>
          <w:szCs w:val="22"/>
        </w:rPr>
      </w:pPr>
      <w:r w:rsidRPr="00771904">
        <w:rPr>
          <w:rFonts w:cs="Arial"/>
          <w:szCs w:val="22"/>
        </w:rPr>
        <w:t>Using its statewide data system and data verification emails, Connecticut reviewed initial evaluation</w:t>
      </w:r>
      <w:r w:rsidR="009459CD" w:rsidRPr="00771904">
        <w:rPr>
          <w:rFonts w:cs="Arial"/>
          <w:szCs w:val="22"/>
        </w:rPr>
        <w:t>s and assessments</w:t>
      </w:r>
      <w:r w:rsidRPr="00771904">
        <w:rPr>
          <w:rFonts w:cs="Arial"/>
          <w:szCs w:val="22"/>
        </w:rPr>
        <w:t xml:space="preserve"> and initial IFSP data for all children for whom an initial IFSP meeting was required to be conducted during the reporting year.</w:t>
      </w:r>
    </w:p>
    <w:p w:rsidR="00844F6D" w:rsidRPr="00771904" w:rsidRDefault="00844F6D" w:rsidP="00844F6D">
      <w:pPr>
        <w:autoSpaceDE w:val="0"/>
        <w:autoSpaceDN w:val="0"/>
        <w:adjustRightInd w:val="0"/>
        <w:rPr>
          <w:rFonts w:eastAsia="Calibri" w:cs="Arial"/>
          <w:bCs/>
          <w:i/>
          <w:color w:val="000000"/>
          <w:szCs w:val="22"/>
        </w:rPr>
      </w:pPr>
    </w:p>
    <w:p w:rsidR="00844F6D" w:rsidRPr="00771904" w:rsidRDefault="00844F6D" w:rsidP="00844F6D">
      <w:pPr>
        <w:autoSpaceDE w:val="0"/>
        <w:autoSpaceDN w:val="0"/>
        <w:adjustRightInd w:val="0"/>
        <w:rPr>
          <w:rFonts w:eastAsia="Calibri" w:cs="Arial"/>
          <w:b/>
          <w:bCs/>
          <w:color w:val="000000"/>
          <w:szCs w:val="22"/>
        </w:rPr>
      </w:pPr>
      <w:r w:rsidRPr="00771904">
        <w:rPr>
          <w:rFonts w:eastAsia="Calibri" w:cs="Arial"/>
          <w:b/>
          <w:bCs/>
          <w:color w:val="000000"/>
          <w:szCs w:val="22"/>
        </w:rPr>
        <w:t>Infa</w:t>
      </w:r>
      <w:r w:rsidR="005508F3" w:rsidRPr="00771904">
        <w:rPr>
          <w:rFonts w:eastAsia="Calibri" w:cs="Arial"/>
          <w:b/>
          <w:bCs/>
          <w:color w:val="000000"/>
          <w:szCs w:val="22"/>
        </w:rPr>
        <w:t xml:space="preserve">nts </w:t>
      </w:r>
      <w:proofErr w:type="gramStart"/>
      <w:r w:rsidR="005508F3" w:rsidRPr="00771904">
        <w:rPr>
          <w:rFonts w:eastAsia="Calibri" w:cs="Arial"/>
          <w:b/>
          <w:bCs/>
          <w:color w:val="000000"/>
          <w:szCs w:val="22"/>
        </w:rPr>
        <w:t>Evaluated</w:t>
      </w:r>
      <w:proofErr w:type="gramEnd"/>
      <w:r w:rsidR="005508F3" w:rsidRPr="00771904">
        <w:rPr>
          <w:rFonts w:eastAsia="Calibri" w:cs="Arial"/>
          <w:b/>
          <w:bCs/>
          <w:color w:val="000000"/>
          <w:szCs w:val="22"/>
        </w:rPr>
        <w:t xml:space="preserve"> and Assessed and P</w:t>
      </w:r>
      <w:r w:rsidRPr="00771904">
        <w:rPr>
          <w:rFonts w:eastAsia="Calibri" w:cs="Arial"/>
          <w:b/>
          <w:bCs/>
          <w:color w:val="000000"/>
          <w:szCs w:val="22"/>
        </w:rPr>
        <w:t xml:space="preserve">rovided an Initial IFSP </w:t>
      </w:r>
      <w:r w:rsidR="005508F3" w:rsidRPr="00771904">
        <w:rPr>
          <w:rFonts w:eastAsia="Calibri" w:cs="Arial"/>
          <w:b/>
          <w:bCs/>
          <w:color w:val="000000"/>
          <w:szCs w:val="22"/>
        </w:rPr>
        <w:t>Meeting Within Part C’s 45-D</w:t>
      </w:r>
      <w:r w:rsidRPr="00771904">
        <w:rPr>
          <w:rFonts w:eastAsia="Calibri" w:cs="Arial"/>
          <w:b/>
          <w:bCs/>
          <w:color w:val="000000"/>
          <w:szCs w:val="22"/>
        </w:rPr>
        <w:t xml:space="preserve">ay </w:t>
      </w:r>
      <w:r w:rsidR="005508F3" w:rsidRPr="00771904">
        <w:rPr>
          <w:rFonts w:eastAsia="Calibri" w:cs="Arial"/>
          <w:b/>
          <w:bCs/>
          <w:color w:val="000000"/>
          <w:szCs w:val="22"/>
        </w:rPr>
        <w:t>T</w:t>
      </w:r>
      <w:r w:rsidRPr="00771904">
        <w:rPr>
          <w:rFonts w:eastAsia="Calibri" w:cs="Arial"/>
          <w:b/>
          <w:bCs/>
          <w:color w:val="000000"/>
          <w:szCs w:val="22"/>
        </w:rPr>
        <w:t>imeline: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1350"/>
      </w:tblGrid>
      <w:tr w:rsidR="00844F6D" w:rsidRPr="00771904" w:rsidTr="003070E1">
        <w:trPr>
          <w:trHeight w:val="350"/>
        </w:trPr>
        <w:tc>
          <w:tcPr>
            <w:tcW w:w="8298" w:type="dxa"/>
            <w:vAlign w:val="center"/>
          </w:tcPr>
          <w:p w:rsidR="00844F6D" w:rsidRPr="00771904" w:rsidRDefault="00844F6D" w:rsidP="00BB59EA">
            <w:pPr>
              <w:pStyle w:val="ListParagraph"/>
              <w:numPr>
                <w:ilvl w:val="0"/>
                <w:numId w:val="16"/>
              </w:numPr>
              <w:autoSpaceDE w:val="0"/>
              <w:autoSpaceDN w:val="0"/>
              <w:adjustRightInd w:val="0"/>
              <w:rPr>
                <w:rFonts w:ascii="Arial" w:eastAsia="Calibri" w:hAnsi="Arial" w:cs="Arial"/>
                <w:color w:val="000000"/>
                <w:sz w:val="20"/>
                <w:szCs w:val="20"/>
              </w:rPr>
            </w:pPr>
            <w:r w:rsidRPr="00771904">
              <w:rPr>
                <w:rFonts w:ascii="Arial" w:eastAsia="Calibri" w:hAnsi="Arial" w:cs="Arial"/>
                <w:color w:val="000000"/>
                <w:sz w:val="20"/>
                <w:szCs w:val="20"/>
              </w:rPr>
              <w:t>Number of infants and toddlers with IFSPs for whom an evaluation and assessment and an initial IFSP meeting was conducted within Part C’s 45-day timeline.</w:t>
            </w:r>
          </w:p>
        </w:tc>
        <w:tc>
          <w:tcPr>
            <w:tcW w:w="1350" w:type="dxa"/>
            <w:vAlign w:val="center"/>
          </w:tcPr>
          <w:p w:rsidR="00844F6D" w:rsidRPr="00771904" w:rsidRDefault="00D04BD5" w:rsidP="003070E1">
            <w:pPr>
              <w:spacing w:before="240" w:after="240"/>
              <w:jc w:val="center"/>
              <w:rPr>
                <w:rFonts w:cs="Arial"/>
                <w:b/>
                <w:color w:val="000000" w:themeColor="text1"/>
                <w:szCs w:val="22"/>
              </w:rPr>
            </w:pPr>
            <w:r w:rsidRPr="00771904">
              <w:rPr>
                <w:rFonts w:cs="Arial"/>
                <w:b/>
                <w:color w:val="000000" w:themeColor="text1"/>
                <w:szCs w:val="22"/>
              </w:rPr>
              <w:t>3504</w:t>
            </w:r>
          </w:p>
        </w:tc>
      </w:tr>
      <w:tr w:rsidR="00844F6D" w:rsidRPr="00771904" w:rsidTr="003070E1">
        <w:tc>
          <w:tcPr>
            <w:tcW w:w="8298" w:type="dxa"/>
            <w:tcBorders>
              <w:bottom w:val="single" w:sz="4" w:space="0" w:color="auto"/>
            </w:tcBorders>
            <w:vAlign w:val="center"/>
          </w:tcPr>
          <w:p w:rsidR="00844F6D" w:rsidRPr="00771904" w:rsidRDefault="00844F6D" w:rsidP="003A493B">
            <w:pPr>
              <w:pStyle w:val="ListParagraph"/>
              <w:numPr>
                <w:ilvl w:val="0"/>
                <w:numId w:val="16"/>
              </w:numPr>
              <w:autoSpaceDE w:val="0"/>
              <w:autoSpaceDN w:val="0"/>
              <w:adjustRightInd w:val="0"/>
              <w:rPr>
                <w:rFonts w:ascii="Arial" w:eastAsia="Calibri" w:hAnsi="Arial" w:cs="Arial"/>
                <w:color w:val="000000"/>
                <w:sz w:val="20"/>
                <w:szCs w:val="20"/>
              </w:rPr>
            </w:pPr>
            <w:r w:rsidRPr="00771904">
              <w:rPr>
                <w:rFonts w:ascii="Arial" w:eastAsia="Calibri" w:hAnsi="Arial" w:cs="Arial"/>
                <w:color w:val="000000"/>
                <w:sz w:val="20"/>
                <w:szCs w:val="20"/>
              </w:rPr>
              <w:t xml:space="preserve">Number of infants and toddlers with IFSPs for whom </w:t>
            </w:r>
            <w:r w:rsidR="00192829" w:rsidRPr="00771904">
              <w:rPr>
                <w:rFonts w:ascii="Arial" w:eastAsia="Calibri" w:hAnsi="Arial" w:cs="Arial"/>
                <w:color w:val="000000"/>
                <w:sz w:val="20"/>
                <w:szCs w:val="20"/>
              </w:rPr>
              <w:t>the State</w:t>
            </w:r>
            <w:r w:rsidRPr="00771904">
              <w:rPr>
                <w:rFonts w:ascii="Arial" w:eastAsia="Calibri" w:hAnsi="Arial" w:cs="Arial"/>
                <w:color w:val="000000"/>
                <w:sz w:val="20"/>
                <w:szCs w:val="20"/>
              </w:rPr>
              <w:t xml:space="preserve"> has identified the reason for the delay as exceptional family circumstances documented in the child’s record</w:t>
            </w:r>
            <w:r w:rsidR="003F6974" w:rsidRPr="00771904">
              <w:rPr>
                <w:rFonts w:ascii="Arial" w:eastAsia="Calibri" w:hAnsi="Arial" w:cs="Arial"/>
                <w:color w:val="000000"/>
                <w:sz w:val="20"/>
                <w:szCs w:val="20"/>
              </w:rPr>
              <w:t xml:space="preserve"> (Range </w:t>
            </w:r>
            <w:r w:rsidR="003A493B" w:rsidRPr="00771904">
              <w:rPr>
                <w:rFonts w:ascii="Arial" w:eastAsia="Calibri" w:hAnsi="Arial" w:cs="Arial"/>
                <w:color w:val="000000"/>
                <w:sz w:val="20"/>
                <w:szCs w:val="20"/>
              </w:rPr>
              <w:t>46-137</w:t>
            </w:r>
            <w:r w:rsidR="003F6974" w:rsidRPr="00771904">
              <w:rPr>
                <w:rFonts w:ascii="Arial" w:eastAsia="Calibri" w:hAnsi="Arial" w:cs="Arial"/>
                <w:color w:val="000000"/>
                <w:sz w:val="20"/>
                <w:szCs w:val="20"/>
              </w:rPr>
              <w:t xml:space="preserve"> days)</w:t>
            </w:r>
            <w:r w:rsidRPr="00771904">
              <w:rPr>
                <w:rFonts w:ascii="Arial" w:eastAsia="Calibri" w:hAnsi="Arial" w:cs="Arial"/>
                <w:color w:val="000000"/>
                <w:sz w:val="20"/>
                <w:szCs w:val="20"/>
              </w:rPr>
              <w:t>.</w:t>
            </w:r>
          </w:p>
        </w:tc>
        <w:tc>
          <w:tcPr>
            <w:tcW w:w="1350" w:type="dxa"/>
            <w:tcBorders>
              <w:bottom w:val="single" w:sz="4" w:space="0" w:color="auto"/>
            </w:tcBorders>
            <w:vAlign w:val="center"/>
          </w:tcPr>
          <w:p w:rsidR="00844F6D" w:rsidRPr="00771904" w:rsidRDefault="00D04BD5" w:rsidP="003070E1">
            <w:pPr>
              <w:spacing w:before="240" w:after="240"/>
              <w:jc w:val="center"/>
              <w:rPr>
                <w:rFonts w:cs="Arial"/>
                <w:b/>
                <w:color w:val="000000" w:themeColor="text1"/>
                <w:szCs w:val="22"/>
              </w:rPr>
            </w:pPr>
            <w:r w:rsidRPr="00771904">
              <w:rPr>
                <w:rFonts w:cs="Arial"/>
                <w:b/>
                <w:color w:val="000000" w:themeColor="text1"/>
                <w:szCs w:val="22"/>
              </w:rPr>
              <w:t>810</w:t>
            </w:r>
          </w:p>
        </w:tc>
      </w:tr>
      <w:tr w:rsidR="00844F6D" w:rsidRPr="00771904" w:rsidTr="003070E1">
        <w:tc>
          <w:tcPr>
            <w:tcW w:w="8298" w:type="dxa"/>
            <w:tcBorders>
              <w:bottom w:val="single" w:sz="4" w:space="0" w:color="auto"/>
            </w:tcBorders>
            <w:vAlign w:val="center"/>
          </w:tcPr>
          <w:p w:rsidR="00844F6D" w:rsidRPr="00771904" w:rsidRDefault="00844F6D" w:rsidP="00BB59EA">
            <w:pPr>
              <w:pStyle w:val="ListParagraph"/>
              <w:numPr>
                <w:ilvl w:val="0"/>
                <w:numId w:val="16"/>
              </w:numPr>
              <w:autoSpaceDE w:val="0"/>
              <w:autoSpaceDN w:val="0"/>
              <w:adjustRightInd w:val="0"/>
              <w:rPr>
                <w:rFonts w:ascii="Arial" w:eastAsia="Calibri" w:hAnsi="Arial" w:cs="Arial"/>
                <w:color w:val="000000"/>
                <w:sz w:val="20"/>
                <w:szCs w:val="20"/>
              </w:rPr>
            </w:pPr>
            <w:r w:rsidRPr="00771904">
              <w:rPr>
                <w:rFonts w:ascii="Arial" w:eastAsia="Calibri" w:hAnsi="Arial" w:cs="Arial"/>
                <w:color w:val="000000"/>
                <w:sz w:val="20"/>
                <w:szCs w:val="20"/>
              </w:rPr>
              <w:t>Number of infants and toddlers with IFSPs evaluated and assessed for whom an initial IFSP meeting was required to be conducted.</w:t>
            </w:r>
          </w:p>
        </w:tc>
        <w:tc>
          <w:tcPr>
            <w:tcW w:w="1350" w:type="dxa"/>
            <w:tcBorders>
              <w:bottom w:val="single" w:sz="4" w:space="0" w:color="auto"/>
            </w:tcBorders>
            <w:vAlign w:val="center"/>
          </w:tcPr>
          <w:p w:rsidR="00844F6D" w:rsidRPr="00771904" w:rsidRDefault="00D04BD5" w:rsidP="003070E1">
            <w:pPr>
              <w:spacing w:before="240" w:after="240"/>
              <w:jc w:val="center"/>
              <w:rPr>
                <w:rFonts w:cs="Arial"/>
                <w:b/>
                <w:color w:val="000000" w:themeColor="text1"/>
                <w:szCs w:val="22"/>
              </w:rPr>
            </w:pPr>
            <w:r w:rsidRPr="00771904">
              <w:rPr>
                <w:rFonts w:cs="Arial"/>
                <w:b/>
                <w:color w:val="000000" w:themeColor="text1"/>
                <w:szCs w:val="22"/>
              </w:rPr>
              <w:t>4316</w:t>
            </w:r>
          </w:p>
        </w:tc>
      </w:tr>
      <w:tr w:rsidR="00844F6D" w:rsidRPr="00771904" w:rsidTr="003070E1">
        <w:trPr>
          <w:trHeight w:val="530"/>
        </w:trPr>
        <w:tc>
          <w:tcPr>
            <w:tcW w:w="8298" w:type="dxa"/>
            <w:tcBorders>
              <w:top w:val="single" w:sz="4" w:space="0" w:color="auto"/>
              <w:left w:val="single" w:sz="4" w:space="0" w:color="auto"/>
              <w:bottom w:val="single" w:sz="4" w:space="0" w:color="auto"/>
              <w:right w:val="single" w:sz="4" w:space="0" w:color="auto"/>
            </w:tcBorders>
            <w:shd w:val="clear" w:color="auto" w:fill="auto"/>
          </w:tcPr>
          <w:p w:rsidR="00844F6D" w:rsidRPr="00771904" w:rsidRDefault="00844F6D" w:rsidP="003070E1">
            <w:pPr>
              <w:tabs>
                <w:tab w:val="left" w:pos="360"/>
              </w:tabs>
              <w:autoSpaceDE w:val="0"/>
              <w:autoSpaceDN w:val="0"/>
              <w:adjustRightInd w:val="0"/>
              <w:spacing w:before="100" w:beforeAutospacing="1" w:after="100" w:afterAutospacing="1"/>
              <w:ind w:left="360"/>
              <w:rPr>
                <w:rFonts w:eastAsia="Calibri" w:cs="Arial"/>
                <w:color w:val="000000"/>
                <w:sz w:val="20"/>
                <w:szCs w:val="20"/>
              </w:rPr>
            </w:pPr>
            <w:r w:rsidRPr="00771904">
              <w:rPr>
                <w:rFonts w:eastAsia="Calibri" w:cs="Arial"/>
                <w:color w:val="000000"/>
                <w:sz w:val="20"/>
                <w:szCs w:val="20"/>
              </w:rPr>
              <w:t>Percent of eligible infants and toddlers with IFSPs for whom an evaluation and assessment and an initial IFSP meeting were conducted within Part C’s 45-day timeline (Percent = [(a) +(b) divided by (c)] times 100)</w:t>
            </w:r>
          </w:p>
        </w:tc>
        <w:tc>
          <w:tcPr>
            <w:tcW w:w="1350" w:type="dxa"/>
            <w:tcBorders>
              <w:top w:val="single" w:sz="4" w:space="0" w:color="auto"/>
              <w:left w:val="single" w:sz="4" w:space="0" w:color="auto"/>
              <w:bottom w:val="single" w:sz="4" w:space="0" w:color="auto"/>
              <w:right w:val="single" w:sz="4" w:space="0" w:color="auto"/>
            </w:tcBorders>
            <w:shd w:val="clear" w:color="auto" w:fill="A6A6A6"/>
            <w:vAlign w:val="center"/>
          </w:tcPr>
          <w:p w:rsidR="00844F6D" w:rsidRPr="00771904" w:rsidRDefault="00844F6D" w:rsidP="003070E1">
            <w:pPr>
              <w:spacing w:before="100" w:beforeAutospacing="1" w:after="100" w:afterAutospacing="1"/>
              <w:jc w:val="center"/>
              <w:rPr>
                <w:rFonts w:cs="Arial"/>
                <w:b/>
                <w:color w:val="000000"/>
                <w:szCs w:val="22"/>
              </w:rPr>
            </w:pPr>
            <w:r w:rsidRPr="00771904">
              <w:rPr>
                <w:rFonts w:cs="Arial"/>
                <w:b/>
                <w:color w:val="000000"/>
                <w:szCs w:val="22"/>
              </w:rPr>
              <w:fldChar w:fldCharType="begin"/>
            </w:r>
            <w:r w:rsidRPr="00771904">
              <w:rPr>
                <w:rFonts w:cs="Arial"/>
                <w:b/>
                <w:color w:val="000000"/>
                <w:szCs w:val="22"/>
              </w:rPr>
              <w:instrText xml:space="preserve"> =((B1+B2)/B3)*100 \# "0.0%" </w:instrText>
            </w:r>
            <w:r w:rsidRPr="00771904">
              <w:rPr>
                <w:rFonts w:cs="Arial"/>
                <w:b/>
                <w:color w:val="000000"/>
                <w:szCs w:val="22"/>
              </w:rPr>
              <w:fldChar w:fldCharType="separate"/>
            </w:r>
            <w:r w:rsidR="009B166D" w:rsidRPr="00771904">
              <w:rPr>
                <w:rFonts w:cs="Arial"/>
                <w:b/>
                <w:noProof/>
                <w:color w:val="000000"/>
                <w:szCs w:val="22"/>
              </w:rPr>
              <w:t>100.0%</w:t>
            </w:r>
            <w:r w:rsidRPr="00771904">
              <w:rPr>
                <w:rFonts w:cs="Arial"/>
                <w:b/>
                <w:color w:val="000000"/>
                <w:szCs w:val="22"/>
              </w:rPr>
              <w:fldChar w:fldCharType="end"/>
            </w:r>
          </w:p>
        </w:tc>
      </w:tr>
    </w:tbl>
    <w:p w:rsidR="00884C95" w:rsidRPr="00771904" w:rsidRDefault="00884C95" w:rsidP="00844F6D">
      <w:pPr>
        <w:spacing w:before="120" w:after="120"/>
        <w:rPr>
          <w:rFonts w:cs="Arial"/>
          <w:szCs w:val="22"/>
        </w:rPr>
      </w:pPr>
      <w:proofErr w:type="gramStart"/>
      <w:r w:rsidRPr="00771904">
        <w:rPr>
          <w:rFonts w:cs="Arial"/>
          <w:szCs w:val="22"/>
        </w:rPr>
        <w:t>Taken out to 1/10th of 1 percent, Connecticut’s data results in 100.0%.</w:t>
      </w:r>
      <w:proofErr w:type="gramEnd"/>
    </w:p>
    <w:p w:rsidR="00844F6D" w:rsidRPr="00771904" w:rsidRDefault="00844F6D" w:rsidP="00844F6D">
      <w:pPr>
        <w:spacing w:before="120" w:after="120"/>
        <w:rPr>
          <w:rFonts w:cs="Arial"/>
          <w:b/>
          <w:szCs w:val="22"/>
        </w:rPr>
      </w:pPr>
      <w:r w:rsidRPr="00771904">
        <w:rPr>
          <w:rFonts w:cs="Arial"/>
          <w:b/>
          <w:szCs w:val="22"/>
        </w:rPr>
        <w:lastRenderedPageBreak/>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in FFY </w:t>
      </w:r>
      <w:proofErr w:type="gramStart"/>
      <w:r w:rsidRPr="00771904">
        <w:rPr>
          <w:rFonts w:cs="Arial"/>
          <w:b/>
          <w:szCs w:val="22"/>
        </w:rPr>
        <w:t>20</w:t>
      </w:r>
      <w:r w:rsidR="00354E9E" w:rsidRPr="00771904">
        <w:rPr>
          <w:rFonts w:cs="Arial"/>
          <w:b/>
          <w:szCs w:val="22"/>
        </w:rPr>
        <w:t>12</w:t>
      </w:r>
      <w:r w:rsidR="00205C4E" w:rsidRPr="00771904">
        <w:rPr>
          <w:rFonts w:cs="Arial"/>
          <w:b/>
          <w:szCs w:val="22"/>
        </w:rPr>
        <w:t xml:space="preserve">  (</w:t>
      </w:r>
      <w:proofErr w:type="gramEnd"/>
      <w:r w:rsidR="00205C4E" w:rsidRPr="00771904">
        <w:rPr>
          <w:rFonts w:cs="Arial"/>
          <w:b/>
          <w:szCs w:val="22"/>
        </w:rPr>
        <w:t>July 1, 2012-June 30, 2013)</w:t>
      </w:r>
      <w:r w:rsidRPr="00771904">
        <w:rPr>
          <w:rFonts w:cs="Arial"/>
          <w:b/>
          <w:szCs w:val="22"/>
        </w:rPr>
        <w:t>:</w:t>
      </w:r>
    </w:p>
    <w:p w:rsidR="00E41140" w:rsidRPr="00771904" w:rsidRDefault="00E41140" w:rsidP="00D424A2">
      <w:pPr>
        <w:ind w:left="360"/>
        <w:rPr>
          <w:rFonts w:cs="Arial"/>
          <w:szCs w:val="22"/>
        </w:rPr>
      </w:pPr>
      <w:r w:rsidRPr="00771904">
        <w:rPr>
          <w:rFonts w:cs="Arial"/>
          <w:szCs w:val="22"/>
        </w:rPr>
        <w:t xml:space="preserve">Pursuant to OSEP Memo </w:t>
      </w:r>
      <w:r w:rsidR="009C1E7C" w:rsidRPr="00771904">
        <w:rPr>
          <w:rFonts w:cs="Arial"/>
          <w:szCs w:val="22"/>
        </w:rPr>
        <w:t>14-3</w:t>
      </w:r>
      <w:r w:rsidRPr="00771904">
        <w:rPr>
          <w:rFonts w:cs="Arial"/>
          <w:szCs w:val="22"/>
        </w:rPr>
        <w:t xml:space="preserve">, Connecticut is not required to report on progress/slippage or improvement activities for this Indicator because </w:t>
      </w:r>
      <w:r w:rsidR="00192829" w:rsidRPr="00771904">
        <w:rPr>
          <w:rFonts w:cs="Arial"/>
          <w:szCs w:val="22"/>
        </w:rPr>
        <w:t>the State</w:t>
      </w:r>
      <w:r w:rsidRPr="00771904">
        <w:rPr>
          <w:rFonts w:cs="Arial"/>
          <w:szCs w:val="22"/>
        </w:rPr>
        <w:t xml:space="preserve"> has met its target.</w:t>
      </w:r>
    </w:p>
    <w:p w:rsidR="00E41140" w:rsidRPr="00771904" w:rsidRDefault="00E41140" w:rsidP="00D424A2">
      <w:pPr>
        <w:ind w:left="360"/>
        <w:rPr>
          <w:rFonts w:cs="Arial"/>
          <w:szCs w:val="22"/>
        </w:rPr>
      </w:pPr>
    </w:p>
    <w:p w:rsidR="009B166D" w:rsidRPr="00771904" w:rsidRDefault="009459CD" w:rsidP="00D424A2">
      <w:pPr>
        <w:ind w:left="360"/>
        <w:rPr>
          <w:rFonts w:cs="Arial"/>
          <w:color w:val="000000" w:themeColor="text1"/>
          <w:szCs w:val="22"/>
        </w:rPr>
      </w:pPr>
      <w:r w:rsidRPr="00771904">
        <w:rPr>
          <w:rFonts w:cs="Arial"/>
          <w:color w:val="000000" w:themeColor="text1"/>
          <w:szCs w:val="22"/>
        </w:rPr>
        <w:t>Two families had i</w:t>
      </w:r>
      <w:r w:rsidR="00D04BD5" w:rsidRPr="00771904">
        <w:rPr>
          <w:rFonts w:cs="Arial"/>
          <w:color w:val="000000" w:themeColor="text1"/>
          <w:szCs w:val="22"/>
        </w:rPr>
        <w:t>nitial IFSP meetings</w:t>
      </w:r>
      <w:r w:rsidRPr="00771904">
        <w:rPr>
          <w:rFonts w:cs="Arial"/>
          <w:color w:val="000000" w:themeColor="text1"/>
          <w:szCs w:val="22"/>
        </w:rPr>
        <w:t xml:space="preserve"> held</w:t>
      </w:r>
      <w:r w:rsidR="0014408E" w:rsidRPr="00771904">
        <w:rPr>
          <w:rFonts w:cs="Arial"/>
          <w:color w:val="000000" w:themeColor="text1"/>
          <w:szCs w:val="22"/>
        </w:rPr>
        <w:t xml:space="preserve"> late</w:t>
      </w:r>
      <w:r w:rsidRPr="00771904">
        <w:rPr>
          <w:rFonts w:cs="Arial"/>
          <w:color w:val="000000" w:themeColor="text1"/>
          <w:szCs w:val="22"/>
        </w:rPr>
        <w:t>, both</w:t>
      </w:r>
      <w:r w:rsidR="0014408E" w:rsidRPr="00771904">
        <w:rPr>
          <w:rFonts w:cs="Arial"/>
          <w:color w:val="000000" w:themeColor="text1"/>
          <w:szCs w:val="22"/>
        </w:rPr>
        <w:t xml:space="preserve"> due to staff errors</w:t>
      </w:r>
      <w:r w:rsidR="00D04BD5" w:rsidRPr="00771904">
        <w:rPr>
          <w:rFonts w:cs="Arial"/>
          <w:color w:val="000000" w:themeColor="text1"/>
          <w:szCs w:val="22"/>
        </w:rPr>
        <w:t xml:space="preserve"> (Range 55-160 days).</w:t>
      </w:r>
    </w:p>
    <w:p w:rsidR="00D413E4" w:rsidRPr="00771904" w:rsidRDefault="00D413E4" w:rsidP="00D413E4">
      <w:pPr>
        <w:rPr>
          <w:rFonts w:cs="Arial"/>
          <w:szCs w:val="22"/>
        </w:rPr>
      </w:pPr>
    </w:p>
    <w:p w:rsidR="00844F6D" w:rsidRPr="00771904" w:rsidRDefault="003C0D85" w:rsidP="00844F6D">
      <w:pPr>
        <w:rPr>
          <w:rFonts w:cs="Arial"/>
          <w:b/>
          <w:szCs w:val="22"/>
        </w:rPr>
      </w:pPr>
      <w:r w:rsidRPr="00771904">
        <w:rPr>
          <w:rFonts w:eastAsia="Calibri" w:cs="Arial"/>
          <w:b/>
          <w:bCs/>
          <w:szCs w:val="22"/>
        </w:rPr>
        <w:t xml:space="preserve">Correction of </w:t>
      </w:r>
      <w:r w:rsidR="00205C4E" w:rsidRPr="00771904">
        <w:rPr>
          <w:rFonts w:eastAsia="Calibri" w:cs="Arial"/>
          <w:b/>
          <w:bCs/>
          <w:szCs w:val="22"/>
        </w:rPr>
        <w:t xml:space="preserve">FFY11 </w:t>
      </w:r>
      <w:r w:rsidR="00205C4E" w:rsidRPr="00771904">
        <w:rPr>
          <w:rFonts w:cs="Arial"/>
          <w:b/>
          <w:szCs w:val="22"/>
        </w:rPr>
        <w:t xml:space="preserve">(July 1, 2011-June 30, 2012) </w:t>
      </w:r>
      <w:r w:rsidRPr="00771904">
        <w:rPr>
          <w:rFonts w:eastAsia="Calibri" w:cs="Arial"/>
          <w:b/>
          <w:bCs/>
          <w:szCs w:val="22"/>
        </w:rPr>
        <w:t>Findings</w:t>
      </w:r>
      <w:r w:rsidR="00844F6D" w:rsidRPr="00771904">
        <w:rPr>
          <w:rFonts w:eastAsia="Calibri" w:cs="Arial"/>
          <w:b/>
          <w:bCs/>
          <w:szCs w:val="22"/>
        </w:rPr>
        <w:t xml:space="preserve"> of Noncompliance </w:t>
      </w:r>
      <w:r w:rsidR="00844F6D" w:rsidRPr="00771904">
        <w:rPr>
          <w:rFonts w:cs="Arial"/>
          <w:b/>
          <w:szCs w:val="22"/>
        </w:rPr>
        <w:t>(if State reported less than 100% compliance):</w:t>
      </w:r>
    </w:p>
    <w:p w:rsidR="00236ABD" w:rsidRPr="00771904" w:rsidRDefault="00236ABD" w:rsidP="00236ABD">
      <w:pPr>
        <w:rPr>
          <w:rFonts w:cs="Arial"/>
          <w:b/>
          <w:i/>
          <w:szCs w:val="22"/>
        </w:rPr>
      </w:pPr>
    </w:p>
    <w:p w:rsidR="00236ABD" w:rsidRPr="00771904" w:rsidRDefault="00192829" w:rsidP="00236ABD">
      <w:pPr>
        <w:ind w:left="360"/>
        <w:rPr>
          <w:rFonts w:cs="Arial"/>
          <w:szCs w:val="22"/>
        </w:rPr>
      </w:pPr>
      <w:r w:rsidRPr="00771904">
        <w:rPr>
          <w:rFonts w:cs="Arial"/>
          <w:szCs w:val="22"/>
        </w:rPr>
        <w:t>The State</w:t>
      </w:r>
      <w:r w:rsidR="003B4415" w:rsidRPr="00771904">
        <w:rPr>
          <w:rFonts w:cs="Arial"/>
          <w:szCs w:val="22"/>
        </w:rPr>
        <w:t xml:space="preserve"> reported 100% compliance.</w:t>
      </w:r>
    </w:p>
    <w:p w:rsidR="00236ABD" w:rsidRPr="00771904" w:rsidRDefault="00236ABD" w:rsidP="00236ABD">
      <w:pPr>
        <w:rPr>
          <w:rFonts w:cs="Arial"/>
          <w:color w:val="A6A6A6" w:themeColor="background1" w:themeShade="A6"/>
          <w:szCs w:val="22"/>
        </w:rPr>
      </w:pPr>
    </w:p>
    <w:p w:rsidR="00844F6D" w:rsidRPr="00771904" w:rsidRDefault="00844F6D" w:rsidP="00844F6D">
      <w:pPr>
        <w:rPr>
          <w:rFonts w:cs="Arial"/>
          <w:b/>
          <w:szCs w:val="22"/>
        </w:rPr>
      </w:pPr>
      <w:r w:rsidRPr="00771904">
        <w:rPr>
          <w:rFonts w:cs="Arial"/>
          <w:b/>
          <w:szCs w:val="22"/>
        </w:rPr>
        <w:t>Verification of Correction of FFY 20</w:t>
      </w:r>
      <w:r w:rsidR="00674799" w:rsidRPr="00771904">
        <w:rPr>
          <w:rFonts w:cs="Arial"/>
          <w:b/>
          <w:szCs w:val="22"/>
        </w:rPr>
        <w:t>1</w:t>
      </w:r>
      <w:r w:rsidR="006F16EB" w:rsidRPr="00771904">
        <w:rPr>
          <w:rFonts w:cs="Arial"/>
          <w:b/>
          <w:szCs w:val="22"/>
        </w:rPr>
        <w:t>1</w:t>
      </w:r>
      <w:r w:rsidRPr="00771904">
        <w:rPr>
          <w:rFonts w:cs="Arial"/>
          <w:b/>
          <w:szCs w:val="22"/>
        </w:rPr>
        <w:t xml:space="preserve"> findings (either timely or subsequent):  </w:t>
      </w:r>
    </w:p>
    <w:p w:rsidR="00844F6D" w:rsidRPr="00771904" w:rsidRDefault="00844F6D" w:rsidP="00844F6D">
      <w:pPr>
        <w:rPr>
          <w:rFonts w:cs="Arial"/>
          <w:b/>
          <w:i/>
          <w:szCs w:val="22"/>
        </w:rPr>
      </w:pPr>
    </w:p>
    <w:p w:rsidR="002707F8" w:rsidRPr="00771904" w:rsidRDefault="00C1538C" w:rsidP="002707F8">
      <w:pPr>
        <w:ind w:left="360"/>
        <w:rPr>
          <w:rFonts w:cs="Arial"/>
          <w:szCs w:val="22"/>
        </w:rPr>
      </w:pPr>
      <w:r w:rsidRPr="00771904">
        <w:rPr>
          <w:rFonts w:cs="Arial"/>
          <w:szCs w:val="22"/>
        </w:rPr>
        <w:t>NA</w:t>
      </w:r>
    </w:p>
    <w:p w:rsidR="00844F6D" w:rsidRPr="00771904" w:rsidRDefault="00844F6D" w:rsidP="00844F6D">
      <w:pPr>
        <w:rPr>
          <w:rFonts w:cs="Arial"/>
          <w:color w:val="A6A6A6" w:themeColor="background1" w:themeShade="A6"/>
          <w:szCs w:val="22"/>
        </w:rPr>
      </w:pPr>
    </w:p>
    <w:p w:rsidR="00844F6D" w:rsidRPr="00771904" w:rsidRDefault="00844F6D" w:rsidP="00844F6D">
      <w:pPr>
        <w:rPr>
          <w:rFonts w:cs="Arial"/>
          <w:b/>
          <w:szCs w:val="22"/>
        </w:rPr>
      </w:pPr>
      <w:r w:rsidRPr="00771904">
        <w:rPr>
          <w:rFonts w:cs="Arial"/>
          <w:b/>
          <w:szCs w:val="22"/>
        </w:rPr>
        <w:t xml:space="preserve">Describe the specific actions that </w:t>
      </w:r>
      <w:r w:rsidR="00192829" w:rsidRPr="00771904">
        <w:rPr>
          <w:rFonts w:cs="Arial"/>
          <w:b/>
          <w:szCs w:val="22"/>
        </w:rPr>
        <w:t>the State</w:t>
      </w:r>
      <w:r w:rsidRPr="00771904">
        <w:rPr>
          <w:rFonts w:cs="Arial"/>
          <w:b/>
          <w:szCs w:val="22"/>
        </w:rPr>
        <w:t xml:space="preserve"> took to verify the correction of findings of noncompliance identified in FFY 20</w:t>
      </w:r>
      <w:r w:rsidR="006F16EB" w:rsidRPr="00771904">
        <w:rPr>
          <w:rFonts w:cs="Arial"/>
          <w:b/>
          <w:szCs w:val="22"/>
        </w:rPr>
        <w:t>11</w:t>
      </w:r>
      <w:r w:rsidRPr="00771904">
        <w:rPr>
          <w:rFonts w:cs="Arial"/>
          <w:b/>
          <w:szCs w:val="22"/>
        </w:rPr>
        <w:t>:</w:t>
      </w:r>
    </w:p>
    <w:p w:rsidR="00844F6D" w:rsidRPr="00771904" w:rsidRDefault="00844F6D" w:rsidP="00844F6D">
      <w:pPr>
        <w:ind w:left="720"/>
        <w:rPr>
          <w:rFonts w:cs="Arial"/>
          <w:szCs w:val="22"/>
        </w:rPr>
      </w:pPr>
    </w:p>
    <w:p w:rsidR="00FC4A8D" w:rsidRPr="00771904" w:rsidRDefault="00C1538C" w:rsidP="00D04BD5">
      <w:pPr>
        <w:ind w:left="360"/>
        <w:rPr>
          <w:rFonts w:cs="Arial"/>
          <w:szCs w:val="22"/>
        </w:rPr>
      </w:pPr>
      <w:r w:rsidRPr="00771904">
        <w:rPr>
          <w:rFonts w:cs="Arial"/>
          <w:szCs w:val="22"/>
        </w:rPr>
        <w:t>NA</w:t>
      </w:r>
    </w:p>
    <w:p w:rsidR="00CE3622" w:rsidRPr="00771904" w:rsidRDefault="00CE3622" w:rsidP="00DB2AB6">
      <w:pPr>
        <w:ind w:left="360"/>
        <w:rPr>
          <w:rFonts w:cs="Arial"/>
          <w:szCs w:val="22"/>
        </w:rPr>
      </w:pPr>
    </w:p>
    <w:p w:rsidR="00844F6D" w:rsidRPr="00771904" w:rsidRDefault="00844F6D" w:rsidP="00844F6D">
      <w:pPr>
        <w:rPr>
          <w:rFonts w:cs="Arial"/>
          <w:b/>
          <w:bCs/>
          <w:szCs w:val="22"/>
        </w:rPr>
      </w:pPr>
      <w:r w:rsidRPr="00771904">
        <w:rPr>
          <w:rFonts w:cs="Arial"/>
          <w:b/>
          <w:bCs/>
          <w:szCs w:val="22"/>
        </w:rPr>
        <w:t xml:space="preserve">Additional Information </w:t>
      </w:r>
      <w:proofErr w:type="gramStart"/>
      <w:r w:rsidRPr="00771904">
        <w:rPr>
          <w:rFonts w:cs="Arial"/>
          <w:b/>
          <w:bCs/>
          <w:szCs w:val="22"/>
        </w:rPr>
        <w:t>Required</w:t>
      </w:r>
      <w:proofErr w:type="gramEnd"/>
      <w:r w:rsidRPr="00771904">
        <w:rPr>
          <w:rFonts w:cs="Arial"/>
          <w:b/>
          <w:bCs/>
          <w:szCs w:val="22"/>
        </w:rPr>
        <w:t xml:space="preserve"> by the OSEP APR Response Table for this Indicator (if applicable):</w:t>
      </w:r>
    </w:p>
    <w:p w:rsidR="00844F6D" w:rsidRPr="00771904" w:rsidRDefault="00844F6D" w:rsidP="00844F6D">
      <w:pPr>
        <w:rPr>
          <w:rFonts w:cs="Arial"/>
          <w:b/>
          <w:bCs/>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876"/>
      </w:tblGrid>
      <w:tr w:rsidR="00844F6D" w:rsidRPr="00771904" w:rsidTr="003070E1">
        <w:tc>
          <w:tcPr>
            <w:tcW w:w="4772" w:type="dxa"/>
          </w:tcPr>
          <w:p w:rsidR="00844F6D" w:rsidRPr="00771904" w:rsidRDefault="00844F6D" w:rsidP="003070E1">
            <w:pPr>
              <w:spacing w:before="240" w:after="240"/>
              <w:jc w:val="center"/>
              <w:rPr>
                <w:rFonts w:cs="Arial"/>
                <w:b/>
                <w:szCs w:val="22"/>
              </w:rPr>
            </w:pPr>
            <w:r w:rsidRPr="00771904">
              <w:rPr>
                <w:rFonts w:cs="Arial"/>
                <w:b/>
                <w:bCs/>
                <w:szCs w:val="22"/>
              </w:rPr>
              <w:t>Statement from the Response Table</w:t>
            </w:r>
          </w:p>
        </w:tc>
        <w:tc>
          <w:tcPr>
            <w:tcW w:w="4876" w:type="dxa"/>
          </w:tcPr>
          <w:p w:rsidR="00844F6D" w:rsidRPr="00771904" w:rsidRDefault="00844F6D" w:rsidP="003070E1">
            <w:pPr>
              <w:spacing w:before="240" w:after="240"/>
              <w:jc w:val="center"/>
              <w:rPr>
                <w:rFonts w:cs="Arial"/>
                <w:b/>
                <w:szCs w:val="22"/>
              </w:rPr>
            </w:pPr>
            <w:r w:rsidRPr="00771904">
              <w:rPr>
                <w:rFonts w:cs="Arial"/>
                <w:b/>
                <w:bCs/>
                <w:szCs w:val="22"/>
              </w:rPr>
              <w:t>State’s Response</w:t>
            </w:r>
          </w:p>
        </w:tc>
      </w:tr>
      <w:tr w:rsidR="002A2E32" w:rsidRPr="00771904" w:rsidTr="002A2E32">
        <w:trPr>
          <w:trHeight w:val="1178"/>
        </w:trPr>
        <w:tc>
          <w:tcPr>
            <w:tcW w:w="4772" w:type="dxa"/>
            <w:vAlign w:val="center"/>
          </w:tcPr>
          <w:p w:rsidR="002A2E32" w:rsidRPr="00771904" w:rsidRDefault="002A2E32" w:rsidP="002A2E32">
            <w:pPr>
              <w:autoSpaceDE w:val="0"/>
              <w:autoSpaceDN w:val="0"/>
              <w:adjustRightInd w:val="0"/>
              <w:rPr>
                <w:rFonts w:cs="Arial"/>
                <w:szCs w:val="22"/>
              </w:rPr>
            </w:pPr>
            <w:r w:rsidRPr="00771904">
              <w:rPr>
                <w:rFonts w:cs="Arial"/>
                <w:szCs w:val="22"/>
              </w:rPr>
              <w:t xml:space="preserve">“If </w:t>
            </w:r>
            <w:r w:rsidR="00192829" w:rsidRPr="00771904">
              <w:rPr>
                <w:rFonts w:cs="Arial"/>
                <w:szCs w:val="22"/>
              </w:rPr>
              <w:t>the State</w:t>
            </w:r>
            <w:r w:rsidRPr="00771904">
              <w:rPr>
                <w:rFonts w:cs="Arial"/>
                <w:szCs w:val="22"/>
              </w:rPr>
              <w:t xml:space="preserve"> does not report 100% compliance in the </w:t>
            </w:r>
            <w:r w:rsidR="00674799" w:rsidRPr="00771904">
              <w:rPr>
                <w:rFonts w:cs="Arial"/>
                <w:szCs w:val="22"/>
              </w:rPr>
              <w:t>FFY 2012</w:t>
            </w:r>
            <w:r w:rsidRPr="00771904">
              <w:rPr>
                <w:rFonts w:cs="Arial"/>
                <w:szCs w:val="22"/>
              </w:rPr>
              <w:t xml:space="preserve"> APR, </w:t>
            </w:r>
            <w:r w:rsidR="00192829" w:rsidRPr="00771904">
              <w:rPr>
                <w:rFonts w:cs="Arial"/>
                <w:szCs w:val="22"/>
              </w:rPr>
              <w:t>the State</w:t>
            </w:r>
            <w:r w:rsidRPr="00771904">
              <w:rPr>
                <w:rFonts w:cs="Arial"/>
                <w:szCs w:val="22"/>
              </w:rPr>
              <w:t xml:space="preserve"> must review its improvement activities and revise them, if necessary.”</w:t>
            </w:r>
          </w:p>
        </w:tc>
        <w:tc>
          <w:tcPr>
            <w:tcW w:w="4876" w:type="dxa"/>
            <w:vAlign w:val="center"/>
          </w:tcPr>
          <w:p w:rsidR="002A2E32" w:rsidRPr="00771904" w:rsidRDefault="004C4F33" w:rsidP="004C4F33">
            <w:pPr>
              <w:rPr>
                <w:rFonts w:cs="Arial"/>
                <w:szCs w:val="22"/>
                <w:highlight w:val="yellow"/>
              </w:rPr>
            </w:pPr>
            <w:r w:rsidRPr="00771904">
              <w:rPr>
                <w:rFonts w:cs="Arial"/>
                <w:szCs w:val="22"/>
              </w:rPr>
              <w:t xml:space="preserve">Taken out to 1/10th of 1 percent, Connecticut’s data results in 100.0%. </w:t>
            </w:r>
          </w:p>
        </w:tc>
      </w:tr>
    </w:tbl>
    <w:p w:rsidR="00844F6D" w:rsidRPr="00771904" w:rsidRDefault="00844F6D" w:rsidP="00844F6D">
      <w:pPr>
        <w:spacing w:before="240" w:after="120"/>
        <w:rPr>
          <w:rFonts w:cs="Arial"/>
          <w:b/>
          <w:iCs/>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5B1B42" w:rsidRPr="00771904">
        <w:rPr>
          <w:rFonts w:cs="Arial"/>
          <w:b/>
          <w:szCs w:val="22"/>
        </w:rPr>
        <w:t xml:space="preserve">FFY12 (July 1, 2012-June 30, 2013) </w:t>
      </w:r>
      <w:r w:rsidRPr="00771904">
        <w:rPr>
          <w:rFonts w:cs="Arial"/>
          <w:b/>
          <w:szCs w:val="22"/>
        </w:rPr>
        <w:t>(if applicable):</w:t>
      </w:r>
    </w:p>
    <w:p w:rsidR="007C01E0" w:rsidRPr="00771904" w:rsidRDefault="00BE35C2" w:rsidP="007C01E0">
      <w:pPr>
        <w:pStyle w:val="StyleLeft025"/>
        <w:ind w:left="0"/>
        <w:rPr>
          <w:rFonts w:cs="Arial"/>
          <w:szCs w:val="22"/>
        </w:rPr>
      </w:pPr>
      <w:r w:rsidRPr="00771904">
        <w:rPr>
          <w:rFonts w:cs="Arial"/>
          <w:szCs w:val="22"/>
        </w:rPr>
        <w:t>No revisions at this time</w:t>
      </w:r>
      <w:r w:rsidR="007C01E0" w:rsidRPr="00771904">
        <w:rPr>
          <w:rFonts w:cs="Arial"/>
          <w:szCs w:val="22"/>
        </w:rPr>
        <w:t xml:space="preserve">  </w:t>
      </w:r>
    </w:p>
    <w:p w:rsidR="00506BDE" w:rsidRPr="00771904" w:rsidRDefault="00506BDE" w:rsidP="00CB69BF">
      <w:pPr>
        <w:spacing w:after="120"/>
        <w:rPr>
          <w:rFonts w:cs="Arial"/>
          <w:i/>
          <w:sz w:val="16"/>
          <w:szCs w:val="16"/>
        </w:rPr>
      </w:pPr>
      <w:r w:rsidRPr="00771904">
        <w:rPr>
          <w:rFonts w:cs="Arial"/>
        </w:rPr>
        <w:br w:type="page"/>
      </w:r>
      <w:r w:rsidRPr="00771904">
        <w:rPr>
          <w:rFonts w:cs="Arial"/>
          <w:b/>
        </w:rPr>
        <w:lastRenderedPageBreak/>
        <w:t xml:space="preserve">Part C State Annual Performance Report (APR) for Federal Fiscal Year </w:t>
      </w:r>
      <w:r w:rsidR="00976EA6" w:rsidRPr="00771904">
        <w:rPr>
          <w:rFonts w:cs="Arial"/>
          <w:b/>
        </w:rPr>
        <w:t>(FFY) 201</w:t>
      </w:r>
      <w:r w:rsidR="00205C4E" w:rsidRPr="00771904">
        <w:rPr>
          <w:rFonts w:cs="Arial"/>
          <w:b/>
        </w:rPr>
        <w:t>2</w:t>
      </w:r>
    </w:p>
    <w:p w:rsidR="00506BDE" w:rsidRPr="00771904" w:rsidRDefault="00506BDE" w:rsidP="00506BDE">
      <w:pPr>
        <w:spacing w:after="120"/>
        <w:rPr>
          <w:rFonts w:cs="Arial"/>
          <w:b/>
          <w:iCs/>
          <w:sz w:val="20"/>
        </w:rPr>
      </w:pPr>
      <w:r w:rsidRPr="00771904">
        <w:rPr>
          <w:rFonts w:cs="Arial"/>
          <w:b/>
          <w:iCs/>
          <w:sz w:val="20"/>
        </w:rPr>
        <w:t>Overview of the Annual Performance Report Development:</w:t>
      </w:r>
    </w:p>
    <w:p w:rsidR="00506BDE" w:rsidRPr="00771904" w:rsidRDefault="00506BDE" w:rsidP="00506BDE">
      <w:pPr>
        <w:spacing w:after="120"/>
        <w:rPr>
          <w:rFonts w:cs="Arial"/>
          <w:b/>
          <w:iCs/>
          <w:sz w:val="20"/>
        </w:rPr>
      </w:pPr>
      <w:r w:rsidRPr="00771904">
        <w:rPr>
          <w:rFonts w:cs="Arial"/>
        </w:rPr>
        <w:t>Same process as described in Indicator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06BDE" w:rsidRPr="00771904" w:rsidTr="00DC57D8">
        <w:tc>
          <w:tcPr>
            <w:tcW w:w="9648" w:type="dxa"/>
          </w:tcPr>
          <w:p w:rsidR="00506BDE" w:rsidRPr="00771904" w:rsidRDefault="00506BDE" w:rsidP="00DC57D8">
            <w:pPr>
              <w:spacing w:before="240" w:after="240"/>
              <w:ind w:left="1980" w:hanging="1980"/>
              <w:rPr>
                <w:rFonts w:cs="Arial"/>
                <w:b/>
                <w:sz w:val="20"/>
                <w:szCs w:val="20"/>
              </w:rPr>
            </w:pPr>
            <w:r w:rsidRPr="00771904">
              <w:rPr>
                <w:rFonts w:cs="Arial"/>
                <w:b/>
                <w:sz w:val="20"/>
                <w:szCs w:val="20"/>
              </w:rPr>
              <w:t>Monitoring Priority:</w:t>
            </w:r>
            <w:r w:rsidRPr="00771904">
              <w:rPr>
                <w:rFonts w:cs="Arial"/>
                <w:b/>
              </w:rPr>
              <w:t xml:space="preserve"> </w:t>
            </w:r>
            <w:r w:rsidRPr="00771904">
              <w:rPr>
                <w:rFonts w:cs="Arial"/>
                <w:b/>
                <w:sz w:val="20"/>
              </w:rPr>
              <w:t>Effective General Supervision Part C / Effective Transition</w:t>
            </w:r>
          </w:p>
        </w:tc>
      </w:tr>
    </w:tbl>
    <w:p w:rsidR="00CB69BF" w:rsidRPr="00771904" w:rsidRDefault="00CB69BF" w:rsidP="00906293">
      <w:pPr>
        <w:rPr>
          <w:rFonts w:eastAsia="Calibri" w:cs="Arial"/>
          <w:sz w:val="20"/>
          <w:szCs w:val="20"/>
        </w:rPr>
      </w:pPr>
      <w:r w:rsidRPr="00771904">
        <w:rPr>
          <w:rFonts w:cs="Arial"/>
          <w:b/>
          <w:sz w:val="20"/>
          <w:szCs w:val="20"/>
        </w:rPr>
        <w:t>Indicator 8A:</w:t>
      </w:r>
      <w:r w:rsidRPr="00771904">
        <w:rPr>
          <w:rFonts w:cs="Arial"/>
          <w:sz w:val="20"/>
          <w:szCs w:val="20"/>
        </w:rPr>
        <w:t xml:space="preserve">  The percentage of toddlers with disabilities exiting Part C with timely transition planning for whom the Lead Agency has</w:t>
      </w:r>
      <w:r w:rsidRPr="00771904">
        <w:rPr>
          <w:rFonts w:eastAsia="Calibri" w:cs="Arial"/>
          <w:sz w:val="20"/>
          <w:szCs w:val="20"/>
        </w:rPr>
        <w:t xml:space="preserve"> developed an IFSP with transition steps and services at least 90 days, and at the discretion of all par</w:t>
      </w:r>
      <w:r w:rsidR="00884C95" w:rsidRPr="00771904">
        <w:rPr>
          <w:rFonts w:eastAsia="Calibri" w:cs="Arial"/>
          <w:sz w:val="20"/>
          <w:szCs w:val="20"/>
        </w:rPr>
        <w:t>ties, not more than nine months</w:t>
      </w:r>
      <w:r w:rsidRPr="00771904">
        <w:rPr>
          <w:rFonts w:eastAsia="Calibri" w:cs="Arial"/>
          <w:sz w:val="20"/>
          <w:szCs w:val="20"/>
        </w:rPr>
        <w:t xml:space="preserve"> prior to the toddler’s third birthday.</w:t>
      </w:r>
    </w:p>
    <w:p w:rsidR="00CB69BF" w:rsidRPr="00771904" w:rsidRDefault="00CB69BF" w:rsidP="00906293">
      <w:pPr>
        <w:rPr>
          <w:rFonts w:cs="Arial"/>
          <w:b/>
          <w:sz w:val="20"/>
          <w:szCs w:val="20"/>
        </w:rPr>
      </w:pPr>
      <w:r w:rsidRPr="00771904">
        <w:rPr>
          <w:rFonts w:cs="Arial"/>
          <w:sz w:val="20"/>
        </w:rPr>
        <w:t>(20 U.S.C. 1416(a</w:t>
      </w:r>
      <w:proofErr w:type="gramStart"/>
      <w:r w:rsidRPr="00771904">
        <w:rPr>
          <w:rFonts w:cs="Arial"/>
          <w:sz w:val="20"/>
        </w:rPr>
        <w:t>)(</w:t>
      </w:r>
      <w:proofErr w:type="gramEnd"/>
      <w:r w:rsidRPr="00771904">
        <w:rPr>
          <w:rFonts w:cs="Arial"/>
          <w:sz w:val="20"/>
        </w:rPr>
        <w:t>3)(B) and 1442)</w:t>
      </w:r>
    </w:p>
    <w:p w:rsidR="005B1797" w:rsidRPr="00771904" w:rsidRDefault="005B1797" w:rsidP="005B1797">
      <w:pPr>
        <w:ind w:left="1440" w:hanging="1440"/>
        <w:rPr>
          <w:rFonts w:cs="Arial"/>
          <w:sz w:val="20"/>
        </w:rPr>
      </w:pPr>
      <w:bookmarkStart w:id="10" w:name="ind8"/>
      <w:bookmarkStart w:id="11" w:name="Ind8a"/>
      <w:bookmarkEnd w:id="10"/>
      <w:bookmarkEnd w:id="11"/>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506BDE" w:rsidRPr="00771904" w:rsidTr="00DC57D8">
        <w:tc>
          <w:tcPr>
            <w:tcW w:w="9630" w:type="dxa"/>
          </w:tcPr>
          <w:p w:rsidR="00506BDE" w:rsidRPr="00771904" w:rsidRDefault="00506BDE" w:rsidP="009459CD">
            <w:pPr>
              <w:pStyle w:val="Header"/>
              <w:tabs>
                <w:tab w:val="clear" w:pos="4320"/>
                <w:tab w:val="clear" w:pos="8640"/>
              </w:tabs>
              <w:ind w:left="-4"/>
              <w:rPr>
                <w:rFonts w:cs="Arial"/>
                <w:b/>
                <w:szCs w:val="22"/>
              </w:rPr>
            </w:pPr>
            <w:r w:rsidRPr="00771904">
              <w:rPr>
                <w:rFonts w:cs="Arial"/>
                <w:b/>
                <w:szCs w:val="22"/>
              </w:rPr>
              <w:t xml:space="preserve">Measurement: </w:t>
            </w:r>
          </w:p>
          <w:p w:rsidR="00A61CE5" w:rsidRPr="00771904" w:rsidRDefault="00A61CE5" w:rsidP="00A61CE5">
            <w:pPr>
              <w:pStyle w:val="Header"/>
              <w:ind w:hanging="4"/>
              <w:rPr>
                <w:rFonts w:cs="Arial"/>
                <w:szCs w:val="22"/>
              </w:rPr>
            </w:pPr>
            <w:r w:rsidRPr="00771904">
              <w:rPr>
                <w:rFonts w:cs="Arial"/>
                <w:szCs w:val="22"/>
              </w:rPr>
              <w:t>Percent = [(# of toddlers with disabilities exiting Part C who have an IFSP with transition steps and services at least 90 days, and at the discretion of all parties</w:t>
            </w:r>
            <w:r w:rsidR="00884C95" w:rsidRPr="00771904">
              <w:rPr>
                <w:rFonts w:cs="Arial"/>
                <w:szCs w:val="22"/>
              </w:rPr>
              <w:t>,</w:t>
            </w:r>
            <w:r w:rsidRPr="00771904">
              <w:rPr>
                <w:rFonts w:cs="Arial"/>
                <w:szCs w:val="22"/>
              </w:rPr>
              <w:t xml:space="preserve"> not more than nine months, prior to their third birthday) divided by the (# of toddlers with disabilities exiting Part C)] times 100.</w:t>
            </w:r>
          </w:p>
          <w:p w:rsidR="00506BDE" w:rsidRPr="00771904" w:rsidRDefault="00A61CE5" w:rsidP="00A61CE5">
            <w:pPr>
              <w:pStyle w:val="BodyText"/>
              <w:ind w:left="296" w:hanging="296"/>
              <w:rPr>
                <w:rFonts w:cs="Arial"/>
                <w:b w:val="0"/>
                <w:bCs/>
                <w:szCs w:val="22"/>
                <w:u w:val="none"/>
              </w:rPr>
            </w:pPr>
            <w:r w:rsidRPr="00771904">
              <w:rPr>
                <w:rFonts w:cs="Arial"/>
                <w:b w:val="0"/>
                <w:szCs w:val="22"/>
                <w:u w:val="none"/>
              </w:rPr>
              <w:t>Account for untimely transition planning, including the reasons for delays.</w:t>
            </w:r>
          </w:p>
        </w:tc>
      </w:tr>
    </w:tbl>
    <w:p w:rsidR="00506BDE" w:rsidRPr="00771904" w:rsidRDefault="00506BDE" w:rsidP="00506BDE">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506BDE" w:rsidRPr="00771904" w:rsidTr="00DC57D8">
        <w:tc>
          <w:tcPr>
            <w:tcW w:w="1548" w:type="dxa"/>
          </w:tcPr>
          <w:p w:rsidR="00506BDE" w:rsidRPr="00771904" w:rsidRDefault="005B1B42" w:rsidP="009459CD">
            <w:pPr>
              <w:jc w:val="center"/>
              <w:rPr>
                <w:rFonts w:cs="Arial"/>
                <w:b/>
                <w:sz w:val="20"/>
                <w:szCs w:val="20"/>
                <w:shd w:val="pct20" w:color="auto" w:fill="auto"/>
              </w:rPr>
            </w:pPr>
            <w:r w:rsidRPr="00771904">
              <w:rPr>
                <w:rFonts w:cs="Arial"/>
                <w:b/>
                <w:sz w:val="20"/>
                <w:szCs w:val="20"/>
              </w:rPr>
              <w:t>FFY1</w:t>
            </w:r>
            <w:r w:rsidR="00205C4E" w:rsidRPr="00771904">
              <w:rPr>
                <w:rFonts w:cs="Arial"/>
                <w:b/>
                <w:sz w:val="20"/>
                <w:szCs w:val="20"/>
              </w:rPr>
              <w:t>2</w:t>
            </w:r>
          </w:p>
        </w:tc>
        <w:tc>
          <w:tcPr>
            <w:tcW w:w="8100" w:type="dxa"/>
          </w:tcPr>
          <w:p w:rsidR="00506BDE" w:rsidRPr="00771904" w:rsidRDefault="00506BDE" w:rsidP="009459CD">
            <w:pPr>
              <w:jc w:val="center"/>
              <w:rPr>
                <w:rFonts w:cs="Arial"/>
                <w:b/>
                <w:sz w:val="20"/>
                <w:szCs w:val="20"/>
              </w:rPr>
            </w:pPr>
            <w:r w:rsidRPr="00771904">
              <w:rPr>
                <w:rFonts w:cs="Arial"/>
                <w:b/>
                <w:sz w:val="20"/>
                <w:szCs w:val="20"/>
              </w:rPr>
              <w:t>Measurable and Rigorous Target</w:t>
            </w:r>
          </w:p>
        </w:tc>
      </w:tr>
      <w:tr w:rsidR="00506BDE" w:rsidRPr="00771904" w:rsidTr="00906293">
        <w:trPr>
          <w:trHeight w:val="332"/>
        </w:trPr>
        <w:tc>
          <w:tcPr>
            <w:tcW w:w="1548" w:type="dxa"/>
          </w:tcPr>
          <w:p w:rsidR="00506BDE" w:rsidRPr="00771904" w:rsidRDefault="002A6A91" w:rsidP="00506BDE">
            <w:pPr>
              <w:jc w:val="center"/>
              <w:rPr>
                <w:rFonts w:cs="Arial"/>
                <w:i/>
                <w:szCs w:val="22"/>
              </w:rPr>
            </w:pPr>
            <w:r w:rsidRPr="00771904">
              <w:rPr>
                <w:rFonts w:cs="Arial"/>
                <w:i/>
                <w:szCs w:val="22"/>
              </w:rPr>
              <w:t>7/1/12-6/30/13</w:t>
            </w:r>
          </w:p>
        </w:tc>
        <w:tc>
          <w:tcPr>
            <w:tcW w:w="8100" w:type="dxa"/>
            <w:vAlign w:val="center"/>
          </w:tcPr>
          <w:p w:rsidR="00506BDE" w:rsidRPr="00771904" w:rsidRDefault="00506BDE" w:rsidP="00906293">
            <w:pPr>
              <w:jc w:val="center"/>
              <w:rPr>
                <w:rFonts w:cs="Arial"/>
                <w:i/>
                <w:szCs w:val="22"/>
              </w:rPr>
            </w:pPr>
            <w:r w:rsidRPr="00771904">
              <w:rPr>
                <w:rFonts w:cs="Arial"/>
                <w:i/>
                <w:szCs w:val="22"/>
              </w:rPr>
              <w:t>100%</w:t>
            </w:r>
          </w:p>
        </w:tc>
      </w:tr>
    </w:tbl>
    <w:p w:rsidR="00506BDE" w:rsidRPr="00771904" w:rsidRDefault="00506BDE" w:rsidP="00506BDE">
      <w:pPr>
        <w:spacing w:before="120" w:after="120"/>
        <w:rPr>
          <w:rFonts w:cs="Arial"/>
          <w:b/>
          <w:sz w:val="20"/>
          <w:szCs w:val="20"/>
        </w:rPr>
      </w:pPr>
      <w:r w:rsidRPr="00771904">
        <w:rPr>
          <w:rFonts w:cs="Arial"/>
          <w:b/>
          <w:szCs w:val="20"/>
        </w:rPr>
        <w:t xml:space="preserve">Actual Target Data for </w:t>
      </w:r>
      <w:r w:rsidR="005B1B42" w:rsidRPr="00771904">
        <w:rPr>
          <w:rFonts w:cs="Arial"/>
          <w:b/>
          <w:szCs w:val="20"/>
        </w:rPr>
        <w:t>FFY1</w:t>
      </w:r>
      <w:r w:rsidR="006F16EB" w:rsidRPr="00771904">
        <w:rPr>
          <w:rFonts w:cs="Arial"/>
          <w:b/>
          <w:szCs w:val="20"/>
        </w:rPr>
        <w:t>2</w:t>
      </w:r>
      <w:r w:rsidRPr="00771904">
        <w:rPr>
          <w:rFonts w:cs="Arial"/>
          <w:b/>
          <w:szCs w:val="20"/>
        </w:rPr>
        <w:t xml:space="preserve"> (</w:t>
      </w:r>
      <w:r w:rsidR="005B1B42" w:rsidRPr="00771904">
        <w:rPr>
          <w:rFonts w:cs="Arial"/>
          <w:b/>
          <w:szCs w:val="20"/>
        </w:rPr>
        <w:t>July 1, 201</w:t>
      </w:r>
      <w:r w:rsidR="006F16EB" w:rsidRPr="00771904">
        <w:rPr>
          <w:rFonts w:cs="Arial"/>
          <w:b/>
          <w:szCs w:val="20"/>
        </w:rPr>
        <w:t>2</w:t>
      </w:r>
      <w:r w:rsidR="005B1B42" w:rsidRPr="00771904">
        <w:rPr>
          <w:rFonts w:cs="Arial"/>
          <w:b/>
          <w:szCs w:val="20"/>
        </w:rPr>
        <w:t>-June 30, 201</w:t>
      </w:r>
      <w:r w:rsidR="006F16EB" w:rsidRPr="00771904">
        <w:rPr>
          <w:rFonts w:cs="Arial"/>
          <w:b/>
          <w:szCs w:val="20"/>
        </w:rPr>
        <w:t>3</w:t>
      </w:r>
      <w:r w:rsidRPr="00771904">
        <w:rPr>
          <w:rFonts w:cs="Arial"/>
          <w:b/>
          <w:szCs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06BDE" w:rsidRPr="00771904" w:rsidTr="00CB69BF">
        <w:trPr>
          <w:trHeight w:val="305"/>
        </w:trPr>
        <w:tc>
          <w:tcPr>
            <w:tcW w:w="9648" w:type="dxa"/>
            <w:vAlign w:val="center"/>
          </w:tcPr>
          <w:p w:rsidR="009459CD" w:rsidRPr="00771904" w:rsidRDefault="009459CD" w:rsidP="00CB69BF">
            <w:pPr>
              <w:jc w:val="center"/>
              <w:rPr>
                <w:rFonts w:cs="Arial"/>
                <w:i/>
                <w:color w:val="000000"/>
                <w:sz w:val="10"/>
                <w:szCs w:val="10"/>
              </w:rPr>
            </w:pPr>
          </w:p>
          <w:p w:rsidR="00084DB5" w:rsidRPr="00771904" w:rsidRDefault="00084DB5" w:rsidP="00084DB5">
            <w:pPr>
              <w:jc w:val="center"/>
              <w:rPr>
                <w:rFonts w:cs="Arial"/>
                <w:i/>
                <w:color w:val="000000"/>
                <w:sz w:val="10"/>
                <w:szCs w:val="10"/>
              </w:rPr>
            </w:pPr>
            <w:r w:rsidRPr="00771904">
              <w:rPr>
                <w:rFonts w:cs="Arial"/>
                <w:i/>
                <w:color w:val="000000"/>
                <w:szCs w:val="22"/>
              </w:rPr>
              <w:t xml:space="preserve">100% - </w:t>
            </w:r>
            <w:r w:rsidRPr="00771904">
              <w:rPr>
                <w:rFonts w:cs="Arial"/>
                <w:i/>
                <w:color w:val="000000" w:themeColor="text1"/>
                <w:szCs w:val="20"/>
              </w:rPr>
              <w:t>State Met Target</w:t>
            </w:r>
          </w:p>
          <w:p w:rsidR="009459CD" w:rsidRPr="00771904" w:rsidRDefault="009459CD" w:rsidP="009459CD">
            <w:pPr>
              <w:jc w:val="center"/>
              <w:rPr>
                <w:rFonts w:cs="Arial"/>
                <w:i/>
                <w:color w:val="000000"/>
                <w:sz w:val="10"/>
                <w:szCs w:val="10"/>
              </w:rPr>
            </w:pPr>
          </w:p>
        </w:tc>
      </w:tr>
    </w:tbl>
    <w:p w:rsidR="00906293" w:rsidRPr="00771904" w:rsidRDefault="00906293" w:rsidP="00906293">
      <w:pPr>
        <w:tabs>
          <w:tab w:val="center" w:pos="1980"/>
          <w:tab w:val="center" w:pos="5760"/>
          <w:tab w:val="center" w:pos="8460"/>
        </w:tabs>
        <w:rPr>
          <w:rFonts w:cs="Arial"/>
          <w:szCs w:val="22"/>
        </w:rPr>
      </w:pPr>
      <w:r w:rsidRPr="00771904">
        <w:rPr>
          <w:rFonts w:cs="Arial"/>
          <w:szCs w:val="22"/>
        </w:rPr>
        <w:t xml:space="preserve">Data are from the Connecticut Birth to Three data system for the full reporting period and </w:t>
      </w:r>
      <w:proofErr w:type="gramStart"/>
      <w:r w:rsidR="00CB69BF" w:rsidRPr="00771904">
        <w:rPr>
          <w:rFonts w:cs="Arial"/>
          <w:szCs w:val="22"/>
        </w:rPr>
        <w:t>were</w:t>
      </w:r>
      <w:proofErr w:type="gramEnd"/>
      <w:r w:rsidR="00CB69BF" w:rsidRPr="00771904">
        <w:rPr>
          <w:rFonts w:cs="Arial"/>
          <w:szCs w:val="22"/>
        </w:rPr>
        <w:t xml:space="preserve"> </w:t>
      </w:r>
      <w:r w:rsidRPr="00771904">
        <w:rPr>
          <w:rFonts w:cs="Arial"/>
          <w:szCs w:val="22"/>
        </w:rPr>
        <w:t>verified using a variety of general supervision components including monitoring and complaints</w:t>
      </w:r>
      <w:r w:rsidR="00CB69BF" w:rsidRPr="00771904">
        <w:rPr>
          <w:rFonts w:cs="Arial"/>
          <w:szCs w:val="22"/>
        </w:rPr>
        <w:t xml:space="preserve">. </w:t>
      </w:r>
      <w:r w:rsidR="009459CD" w:rsidRPr="00771904">
        <w:rPr>
          <w:rFonts w:cs="Arial"/>
          <w:szCs w:val="22"/>
        </w:rPr>
        <w:t xml:space="preserve"> Since transition plans are a required part of the IFSP for all children, Connecticut used data for all </w:t>
      </w:r>
      <w:r w:rsidR="00CB69BF" w:rsidRPr="00771904">
        <w:rPr>
          <w:rFonts w:cs="Arial"/>
          <w:szCs w:val="22"/>
        </w:rPr>
        <w:t xml:space="preserve">4339 children </w:t>
      </w:r>
      <w:r w:rsidR="009459CD" w:rsidRPr="00771904">
        <w:rPr>
          <w:rFonts w:cs="Arial"/>
          <w:szCs w:val="22"/>
        </w:rPr>
        <w:t xml:space="preserve">that </w:t>
      </w:r>
      <w:r w:rsidR="00CB69BF" w:rsidRPr="00771904">
        <w:rPr>
          <w:rFonts w:cs="Arial"/>
          <w:szCs w:val="22"/>
        </w:rPr>
        <w:t xml:space="preserve">exited Birth to Three in FFY12.  450 children had their initial meeting IFSP held within 90 days of </w:t>
      </w:r>
      <w:r w:rsidR="00B50046" w:rsidRPr="00771904">
        <w:rPr>
          <w:rFonts w:cs="Arial"/>
          <w:szCs w:val="22"/>
        </w:rPr>
        <w:t xml:space="preserve">exiting Birth to Three </w:t>
      </w:r>
      <w:r w:rsidR="00CB69BF" w:rsidRPr="00771904">
        <w:rPr>
          <w:rFonts w:cs="Arial"/>
          <w:szCs w:val="22"/>
        </w:rPr>
        <w:t xml:space="preserve">leaving 3889 children with an IFSP developed more than 90 days before </w:t>
      </w:r>
      <w:r w:rsidR="00B50046" w:rsidRPr="00771904">
        <w:rPr>
          <w:rFonts w:cs="Arial"/>
          <w:szCs w:val="22"/>
        </w:rPr>
        <w:t>the child’s exit date</w:t>
      </w:r>
      <w:r w:rsidR="00084DB5" w:rsidRPr="00771904">
        <w:rPr>
          <w:rFonts w:cs="Arial"/>
          <w:szCs w:val="22"/>
        </w:rPr>
        <w:t xml:space="preserve"> even if the child exited before age three</w:t>
      </w:r>
      <w:r w:rsidR="00CB69BF" w:rsidRPr="00771904">
        <w:rPr>
          <w:rFonts w:cs="Arial"/>
          <w:szCs w:val="22"/>
        </w:rPr>
        <w:t xml:space="preserve">.  </w:t>
      </w:r>
    </w:p>
    <w:p w:rsidR="00906293" w:rsidRPr="00771904" w:rsidRDefault="00906293" w:rsidP="00906293">
      <w:pPr>
        <w:rPr>
          <w:rFonts w:eastAsia="Calibri" w:cs="Arial"/>
          <w:color w:val="000000"/>
          <w:sz w:val="10"/>
          <w:szCs w:val="10"/>
        </w:rPr>
      </w:pPr>
    </w:p>
    <w:p w:rsidR="00506BDE" w:rsidRPr="00771904" w:rsidRDefault="00506BDE" w:rsidP="00506BDE">
      <w:pPr>
        <w:autoSpaceDE w:val="0"/>
        <w:autoSpaceDN w:val="0"/>
        <w:adjustRightInd w:val="0"/>
        <w:rPr>
          <w:rFonts w:eastAsia="Calibri" w:cs="Arial"/>
          <w:b/>
          <w:bCs/>
          <w:color w:val="000000"/>
          <w:szCs w:val="22"/>
        </w:rPr>
      </w:pPr>
      <w:r w:rsidRPr="00771904">
        <w:rPr>
          <w:rFonts w:eastAsia="Calibri" w:cs="Arial"/>
          <w:b/>
          <w:bCs/>
          <w:color w:val="000000"/>
          <w:szCs w:val="22"/>
        </w:rPr>
        <w:t xml:space="preserve">Children Exiting Part C who </w:t>
      </w:r>
      <w:proofErr w:type="gramStart"/>
      <w:r w:rsidRPr="00771904">
        <w:rPr>
          <w:rFonts w:eastAsia="Calibri" w:cs="Arial"/>
          <w:b/>
          <w:bCs/>
          <w:color w:val="000000"/>
          <w:szCs w:val="22"/>
        </w:rPr>
        <w:t>Received</w:t>
      </w:r>
      <w:proofErr w:type="gramEnd"/>
      <w:r w:rsidRPr="00771904">
        <w:rPr>
          <w:rFonts w:eastAsia="Calibri" w:cs="Arial"/>
          <w:b/>
          <w:bCs/>
          <w:color w:val="000000"/>
          <w:szCs w:val="22"/>
        </w:rPr>
        <w:t xml:space="preserve"> Timely Transition Planning: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1350"/>
      </w:tblGrid>
      <w:tr w:rsidR="00506BDE" w:rsidRPr="00771904" w:rsidTr="00506BDE">
        <w:trPr>
          <w:trHeight w:val="350"/>
        </w:trPr>
        <w:tc>
          <w:tcPr>
            <w:tcW w:w="8298" w:type="dxa"/>
            <w:vAlign w:val="center"/>
          </w:tcPr>
          <w:p w:rsidR="00506BDE" w:rsidRPr="00771904" w:rsidRDefault="00506BDE" w:rsidP="00BB59EA">
            <w:pPr>
              <w:pStyle w:val="ListParagraph"/>
              <w:numPr>
                <w:ilvl w:val="0"/>
                <w:numId w:val="18"/>
              </w:numPr>
              <w:autoSpaceDE w:val="0"/>
              <w:autoSpaceDN w:val="0"/>
              <w:adjustRightInd w:val="0"/>
              <w:rPr>
                <w:rFonts w:ascii="Arial" w:eastAsia="Calibri" w:hAnsi="Arial" w:cs="Arial"/>
                <w:color w:val="000000"/>
                <w:sz w:val="22"/>
                <w:szCs w:val="22"/>
              </w:rPr>
            </w:pPr>
            <w:r w:rsidRPr="00771904">
              <w:rPr>
                <w:rFonts w:ascii="Arial" w:eastAsia="Calibri" w:hAnsi="Arial" w:cs="Arial"/>
                <w:color w:val="000000"/>
                <w:sz w:val="22"/>
                <w:szCs w:val="22"/>
              </w:rPr>
              <w:t>Number of children exiting Part C who have an IFSP with transition steps and services</w:t>
            </w:r>
          </w:p>
        </w:tc>
        <w:tc>
          <w:tcPr>
            <w:tcW w:w="1350" w:type="dxa"/>
            <w:vAlign w:val="center"/>
          </w:tcPr>
          <w:p w:rsidR="00506BDE" w:rsidRPr="00771904" w:rsidRDefault="00CB69BF" w:rsidP="004F4D2F">
            <w:pPr>
              <w:jc w:val="center"/>
              <w:rPr>
                <w:rFonts w:cs="Arial"/>
                <w:b/>
                <w:color w:val="000000"/>
                <w:szCs w:val="22"/>
              </w:rPr>
            </w:pPr>
            <w:r w:rsidRPr="00771904">
              <w:rPr>
                <w:rFonts w:cs="Arial"/>
                <w:b/>
                <w:color w:val="000000"/>
                <w:szCs w:val="22"/>
              </w:rPr>
              <w:t>3889</w:t>
            </w:r>
          </w:p>
        </w:tc>
      </w:tr>
      <w:tr w:rsidR="00506BDE" w:rsidRPr="00771904" w:rsidTr="00506BDE">
        <w:trPr>
          <w:trHeight w:val="611"/>
        </w:trPr>
        <w:tc>
          <w:tcPr>
            <w:tcW w:w="8298" w:type="dxa"/>
            <w:tcBorders>
              <w:bottom w:val="single" w:sz="4" w:space="0" w:color="auto"/>
            </w:tcBorders>
            <w:vAlign w:val="center"/>
          </w:tcPr>
          <w:p w:rsidR="00506BDE" w:rsidRPr="00771904" w:rsidRDefault="00506BDE" w:rsidP="00A61CE5">
            <w:pPr>
              <w:pStyle w:val="ListParagraph"/>
              <w:numPr>
                <w:ilvl w:val="0"/>
                <w:numId w:val="18"/>
              </w:numPr>
              <w:autoSpaceDE w:val="0"/>
              <w:autoSpaceDN w:val="0"/>
              <w:adjustRightInd w:val="0"/>
              <w:rPr>
                <w:rFonts w:ascii="Arial" w:eastAsia="Calibri" w:hAnsi="Arial" w:cs="Arial"/>
                <w:color w:val="000000"/>
                <w:sz w:val="22"/>
                <w:szCs w:val="22"/>
              </w:rPr>
            </w:pPr>
            <w:r w:rsidRPr="00771904">
              <w:rPr>
                <w:rFonts w:ascii="Arial" w:eastAsia="Calibri" w:hAnsi="Arial" w:cs="Arial"/>
                <w:color w:val="000000"/>
                <w:sz w:val="22"/>
                <w:szCs w:val="22"/>
              </w:rPr>
              <w:t>Number of children exiting Part C</w:t>
            </w:r>
            <w:r w:rsidR="002F53F2" w:rsidRPr="00771904">
              <w:rPr>
                <w:rFonts w:ascii="Arial" w:eastAsia="Calibri" w:hAnsi="Arial" w:cs="Arial"/>
                <w:color w:val="000000"/>
                <w:sz w:val="22"/>
                <w:szCs w:val="22"/>
              </w:rPr>
              <w:t xml:space="preserve"> </w:t>
            </w:r>
            <w:r w:rsidR="00A61CE5" w:rsidRPr="00771904">
              <w:rPr>
                <w:rFonts w:ascii="Arial" w:eastAsia="Calibri" w:hAnsi="Arial" w:cs="Arial"/>
                <w:color w:val="000000"/>
                <w:sz w:val="22"/>
                <w:szCs w:val="22"/>
              </w:rPr>
              <w:t>with an IFSP developed at least 90 days before age 3 or when the child exited</w:t>
            </w:r>
          </w:p>
        </w:tc>
        <w:tc>
          <w:tcPr>
            <w:tcW w:w="1350" w:type="dxa"/>
            <w:tcBorders>
              <w:bottom w:val="single" w:sz="4" w:space="0" w:color="auto"/>
            </w:tcBorders>
            <w:vAlign w:val="center"/>
          </w:tcPr>
          <w:p w:rsidR="00506BDE" w:rsidRPr="00771904" w:rsidRDefault="00CB69BF" w:rsidP="00506BDE">
            <w:pPr>
              <w:jc w:val="center"/>
              <w:rPr>
                <w:rFonts w:cs="Arial"/>
                <w:b/>
                <w:color w:val="000000"/>
                <w:szCs w:val="22"/>
              </w:rPr>
            </w:pPr>
            <w:r w:rsidRPr="00771904">
              <w:rPr>
                <w:rFonts w:cs="Arial"/>
                <w:b/>
                <w:color w:val="000000"/>
                <w:szCs w:val="22"/>
              </w:rPr>
              <w:t>3889</w:t>
            </w:r>
          </w:p>
        </w:tc>
      </w:tr>
      <w:tr w:rsidR="00506BDE" w:rsidRPr="00771904" w:rsidTr="00506BDE">
        <w:trPr>
          <w:trHeight w:val="530"/>
        </w:trPr>
        <w:tc>
          <w:tcPr>
            <w:tcW w:w="8298" w:type="dxa"/>
            <w:tcBorders>
              <w:top w:val="single" w:sz="4" w:space="0" w:color="auto"/>
              <w:left w:val="single" w:sz="4" w:space="0" w:color="auto"/>
              <w:bottom w:val="single" w:sz="4" w:space="0" w:color="auto"/>
              <w:right w:val="single" w:sz="4" w:space="0" w:color="auto"/>
            </w:tcBorders>
            <w:shd w:val="clear" w:color="auto" w:fill="auto"/>
          </w:tcPr>
          <w:p w:rsidR="00506BDE" w:rsidRPr="00771904" w:rsidRDefault="00906293" w:rsidP="00506BDE">
            <w:pPr>
              <w:tabs>
                <w:tab w:val="left" w:pos="360"/>
              </w:tabs>
              <w:autoSpaceDE w:val="0"/>
              <w:autoSpaceDN w:val="0"/>
              <w:adjustRightInd w:val="0"/>
              <w:ind w:left="360"/>
              <w:rPr>
                <w:rFonts w:eastAsia="Calibri" w:cs="Arial"/>
                <w:color w:val="000000"/>
                <w:szCs w:val="22"/>
              </w:rPr>
            </w:pPr>
            <w:r w:rsidRPr="00771904">
              <w:rPr>
                <w:rFonts w:cs="Arial"/>
                <w:sz w:val="20"/>
                <w:szCs w:val="20"/>
              </w:rPr>
              <w:t>The percentage of toddlers with disabilities exiting Part C with timely transition planning for whom the lead agency has d</w:t>
            </w:r>
            <w:r w:rsidRPr="00771904">
              <w:rPr>
                <w:rFonts w:eastAsia="Calibri" w:cs="Arial"/>
                <w:sz w:val="20"/>
                <w:szCs w:val="20"/>
              </w:rPr>
              <w:t xml:space="preserve">eveloped an IFSP with transition steps and services at least 90 days, and at the discretion of all parties, not more than nine months, prior to the toddler’s third birthday. </w:t>
            </w:r>
            <w:r w:rsidRPr="00771904">
              <w:rPr>
                <w:rFonts w:eastAsia="Calibri" w:cs="Arial"/>
                <w:color w:val="000000"/>
                <w:sz w:val="20"/>
                <w:szCs w:val="20"/>
              </w:rPr>
              <w:t xml:space="preserve"> (Percent = [(a) divided by (b)] times 100)</w:t>
            </w:r>
          </w:p>
        </w:tc>
        <w:tc>
          <w:tcPr>
            <w:tcW w:w="1350" w:type="dxa"/>
            <w:tcBorders>
              <w:top w:val="single" w:sz="4" w:space="0" w:color="auto"/>
              <w:left w:val="single" w:sz="4" w:space="0" w:color="auto"/>
              <w:bottom w:val="single" w:sz="4" w:space="0" w:color="auto"/>
              <w:right w:val="single" w:sz="4" w:space="0" w:color="auto"/>
            </w:tcBorders>
            <w:shd w:val="clear" w:color="auto" w:fill="A6A6A6"/>
            <w:vAlign w:val="center"/>
          </w:tcPr>
          <w:p w:rsidR="00506BDE" w:rsidRPr="00771904" w:rsidRDefault="00506BDE" w:rsidP="00506BDE">
            <w:pPr>
              <w:jc w:val="center"/>
              <w:rPr>
                <w:rFonts w:cs="Arial"/>
                <w:color w:val="000000"/>
                <w:szCs w:val="22"/>
              </w:rPr>
            </w:pPr>
            <w:r w:rsidRPr="00771904">
              <w:rPr>
                <w:rFonts w:cs="Arial"/>
                <w:color w:val="000000"/>
                <w:szCs w:val="22"/>
              </w:rPr>
              <w:fldChar w:fldCharType="begin"/>
            </w:r>
            <w:r w:rsidRPr="00771904">
              <w:rPr>
                <w:rFonts w:cs="Arial"/>
                <w:color w:val="000000"/>
                <w:szCs w:val="22"/>
              </w:rPr>
              <w:instrText xml:space="preserve"> =(B1/B2)*100 \# "0%" </w:instrText>
            </w:r>
            <w:r w:rsidRPr="00771904">
              <w:rPr>
                <w:rFonts w:cs="Arial"/>
                <w:color w:val="000000"/>
                <w:szCs w:val="22"/>
              </w:rPr>
              <w:fldChar w:fldCharType="separate"/>
            </w:r>
            <w:r w:rsidR="002F53F2" w:rsidRPr="00771904">
              <w:rPr>
                <w:rFonts w:cs="Arial"/>
                <w:noProof/>
                <w:color w:val="000000"/>
                <w:szCs w:val="22"/>
              </w:rPr>
              <w:t>100%</w:t>
            </w:r>
            <w:r w:rsidRPr="00771904">
              <w:rPr>
                <w:rFonts w:cs="Arial"/>
                <w:color w:val="000000"/>
                <w:szCs w:val="22"/>
              </w:rPr>
              <w:fldChar w:fldCharType="end"/>
            </w:r>
          </w:p>
        </w:tc>
      </w:tr>
    </w:tbl>
    <w:p w:rsidR="00906293" w:rsidRPr="00771904" w:rsidRDefault="00906293" w:rsidP="00906293">
      <w:pPr>
        <w:rPr>
          <w:rFonts w:eastAsia="Calibri" w:cs="Arial"/>
          <w:color w:val="000000"/>
          <w:sz w:val="10"/>
          <w:szCs w:val="10"/>
        </w:rPr>
      </w:pPr>
    </w:p>
    <w:p w:rsidR="00506BDE" w:rsidRPr="00771904" w:rsidRDefault="00506BDE" w:rsidP="004106AC">
      <w:pPr>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in </w:t>
      </w:r>
      <w:r w:rsidR="00354E9E" w:rsidRPr="00771904">
        <w:rPr>
          <w:rFonts w:cs="Arial"/>
          <w:b/>
          <w:szCs w:val="22"/>
        </w:rPr>
        <w:t>FFY 2012</w:t>
      </w:r>
      <w:r w:rsidRPr="00771904">
        <w:rPr>
          <w:rFonts w:cs="Arial"/>
          <w:b/>
          <w:szCs w:val="22"/>
        </w:rPr>
        <w:t>:</w:t>
      </w:r>
    </w:p>
    <w:p w:rsidR="004106AC" w:rsidRPr="00771904" w:rsidRDefault="004106AC" w:rsidP="004106AC">
      <w:pPr>
        <w:autoSpaceDE w:val="0"/>
        <w:autoSpaceDN w:val="0"/>
        <w:adjustRightInd w:val="0"/>
        <w:rPr>
          <w:rFonts w:cs="Arial"/>
          <w:sz w:val="10"/>
          <w:szCs w:val="10"/>
        </w:rPr>
      </w:pPr>
    </w:p>
    <w:p w:rsidR="00F70350" w:rsidRPr="00771904" w:rsidRDefault="00E41140" w:rsidP="00E41140">
      <w:pPr>
        <w:rPr>
          <w:rFonts w:cs="Arial"/>
          <w:szCs w:val="22"/>
        </w:rPr>
      </w:pPr>
      <w:r w:rsidRPr="00771904">
        <w:rPr>
          <w:rFonts w:cs="Arial"/>
          <w:szCs w:val="22"/>
        </w:rPr>
        <w:t xml:space="preserve">Pursuant to OSEP Memo </w:t>
      </w:r>
      <w:r w:rsidR="009C1E7C" w:rsidRPr="00771904">
        <w:rPr>
          <w:rFonts w:cs="Arial"/>
          <w:szCs w:val="22"/>
        </w:rPr>
        <w:t>14-3</w:t>
      </w:r>
      <w:r w:rsidRPr="00771904">
        <w:rPr>
          <w:rFonts w:cs="Arial"/>
          <w:szCs w:val="22"/>
        </w:rPr>
        <w:t xml:space="preserve">, Connecticut is not required to report on progress/slippage or improvement activities for this Indicator because </w:t>
      </w:r>
      <w:r w:rsidR="00192829" w:rsidRPr="00771904">
        <w:rPr>
          <w:rFonts w:cs="Arial"/>
          <w:szCs w:val="22"/>
        </w:rPr>
        <w:t>the State</w:t>
      </w:r>
      <w:r w:rsidRPr="00771904">
        <w:rPr>
          <w:rFonts w:cs="Arial"/>
          <w:szCs w:val="22"/>
        </w:rPr>
        <w:t xml:space="preserve"> </w:t>
      </w:r>
      <w:r w:rsidR="00906293" w:rsidRPr="00771904">
        <w:rPr>
          <w:rFonts w:cs="Arial"/>
          <w:szCs w:val="22"/>
        </w:rPr>
        <w:t xml:space="preserve">continues to meet its </w:t>
      </w:r>
      <w:r w:rsidRPr="00771904">
        <w:rPr>
          <w:rFonts w:cs="Arial"/>
          <w:szCs w:val="22"/>
        </w:rPr>
        <w:t>target.</w:t>
      </w:r>
    </w:p>
    <w:p w:rsidR="00906293" w:rsidRPr="00771904" w:rsidRDefault="00906293" w:rsidP="00906293">
      <w:pPr>
        <w:rPr>
          <w:rFonts w:eastAsia="Calibri" w:cs="Arial"/>
          <w:color w:val="000000"/>
          <w:sz w:val="10"/>
          <w:szCs w:val="10"/>
        </w:rPr>
      </w:pPr>
    </w:p>
    <w:p w:rsidR="00506BDE" w:rsidRPr="00771904" w:rsidRDefault="00506BDE" w:rsidP="00E41140">
      <w:pPr>
        <w:rPr>
          <w:rFonts w:cs="Arial"/>
          <w:b/>
          <w:iCs/>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C02A8F" w:rsidRPr="00771904">
        <w:rPr>
          <w:rFonts w:cs="Arial"/>
          <w:b/>
          <w:szCs w:val="22"/>
        </w:rPr>
        <w:t xml:space="preserve">FFY12 (July 1, 2012-June 30, 2013) </w:t>
      </w:r>
      <w:r w:rsidRPr="00771904">
        <w:rPr>
          <w:rFonts w:cs="Arial"/>
          <w:b/>
          <w:szCs w:val="22"/>
        </w:rPr>
        <w:t>(if applicable):</w:t>
      </w:r>
    </w:p>
    <w:p w:rsidR="007A28CE" w:rsidRPr="00771904" w:rsidRDefault="007A28CE" w:rsidP="004106AC">
      <w:pPr>
        <w:rPr>
          <w:rFonts w:cs="Arial"/>
          <w:sz w:val="10"/>
          <w:szCs w:val="10"/>
        </w:rPr>
      </w:pPr>
    </w:p>
    <w:p w:rsidR="000E3D8A" w:rsidRPr="00771904" w:rsidRDefault="00BE35C2" w:rsidP="004106AC">
      <w:pPr>
        <w:rPr>
          <w:rFonts w:cs="Arial"/>
          <w:b/>
          <w:szCs w:val="22"/>
        </w:rPr>
      </w:pPr>
      <w:r w:rsidRPr="00771904">
        <w:rPr>
          <w:rFonts w:cs="Arial"/>
          <w:szCs w:val="22"/>
        </w:rPr>
        <w:t>No revisions at this time</w:t>
      </w:r>
      <w:r w:rsidR="004106AC" w:rsidRPr="00771904">
        <w:rPr>
          <w:rFonts w:cs="Arial"/>
          <w:szCs w:val="22"/>
        </w:rPr>
        <w:br w:type="page"/>
      </w:r>
      <w:r w:rsidR="000E3D8A" w:rsidRPr="00771904">
        <w:rPr>
          <w:rFonts w:cs="Arial"/>
          <w:b/>
          <w:szCs w:val="22"/>
        </w:rPr>
        <w:lastRenderedPageBreak/>
        <w:t xml:space="preserve">Part C State Annual Performance Report (APR) for Federal Fiscal Year </w:t>
      </w:r>
      <w:r w:rsidR="00205C4E" w:rsidRPr="00771904">
        <w:rPr>
          <w:rFonts w:cs="Arial"/>
          <w:b/>
          <w:szCs w:val="22"/>
        </w:rPr>
        <w:t>(FFY) 2012</w:t>
      </w:r>
    </w:p>
    <w:p w:rsidR="00906293" w:rsidRPr="00771904" w:rsidRDefault="00906293" w:rsidP="00906293">
      <w:pPr>
        <w:autoSpaceDE w:val="0"/>
        <w:autoSpaceDN w:val="0"/>
        <w:adjustRightInd w:val="0"/>
        <w:rPr>
          <w:rFonts w:eastAsia="Calibri" w:cs="Arial"/>
          <w:bCs/>
          <w:i/>
          <w:color w:val="000000"/>
          <w:sz w:val="8"/>
          <w:szCs w:val="8"/>
        </w:rPr>
      </w:pPr>
    </w:p>
    <w:p w:rsidR="000E3D8A" w:rsidRPr="00771904" w:rsidRDefault="000E3D8A" w:rsidP="000E3D8A">
      <w:pPr>
        <w:rPr>
          <w:rFonts w:cs="Arial"/>
          <w:b/>
          <w:iCs/>
          <w:szCs w:val="22"/>
        </w:rPr>
      </w:pPr>
      <w:r w:rsidRPr="00771904">
        <w:rPr>
          <w:rFonts w:cs="Arial"/>
          <w:b/>
          <w:iCs/>
          <w:szCs w:val="22"/>
        </w:rPr>
        <w:t>Overview of the Annual Performance Report Development:</w:t>
      </w:r>
    </w:p>
    <w:p w:rsidR="000E3D8A" w:rsidRPr="00771904" w:rsidRDefault="000E3D8A" w:rsidP="000E3D8A">
      <w:pPr>
        <w:rPr>
          <w:rFonts w:cs="Arial"/>
          <w:iCs/>
          <w:szCs w:val="22"/>
        </w:rPr>
      </w:pPr>
      <w:r w:rsidRPr="00771904">
        <w:rPr>
          <w:rFonts w:cs="Arial"/>
          <w:iCs/>
          <w:szCs w:val="22"/>
        </w:rPr>
        <w:t>Same as described under Indicator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gridCol w:w="18"/>
      </w:tblGrid>
      <w:tr w:rsidR="000E3D8A" w:rsidRPr="00771904" w:rsidTr="00544CEF">
        <w:trPr>
          <w:trHeight w:val="341"/>
        </w:trPr>
        <w:tc>
          <w:tcPr>
            <w:tcW w:w="9576" w:type="dxa"/>
            <w:gridSpan w:val="2"/>
            <w:vAlign w:val="center"/>
          </w:tcPr>
          <w:p w:rsidR="000E3D8A" w:rsidRPr="00771904" w:rsidRDefault="000E3D8A" w:rsidP="00544CEF">
            <w:pPr>
              <w:ind w:left="1987" w:hanging="1987"/>
              <w:rPr>
                <w:rFonts w:cs="Arial"/>
                <w:b/>
                <w:sz w:val="20"/>
                <w:szCs w:val="20"/>
              </w:rPr>
            </w:pPr>
            <w:r w:rsidRPr="00771904">
              <w:rPr>
                <w:rFonts w:cs="Arial"/>
                <w:b/>
                <w:sz w:val="20"/>
                <w:szCs w:val="20"/>
              </w:rPr>
              <w:t>Monitoring Priority: Effective General Supervision Part C / Effective Transition</w:t>
            </w:r>
          </w:p>
        </w:tc>
      </w:tr>
      <w:tr w:rsidR="009526D1" w:rsidRPr="00771904" w:rsidTr="00D60B2A">
        <w:tc>
          <w:tcPr>
            <w:tcW w:w="9576" w:type="dxa"/>
            <w:gridSpan w:val="2"/>
            <w:tcBorders>
              <w:left w:val="nil"/>
              <w:bottom w:val="nil"/>
              <w:right w:val="nil"/>
            </w:tcBorders>
          </w:tcPr>
          <w:p w:rsidR="00906293" w:rsidRPr="00771904" w:rsidRDefault="009526D1" w:rsidP="00906293">
            <w:pPr>
              <w:pStyle w:val="Header"/>
              <w:ind w:left="392" w:hanging="400"/>
              <w:rPr>
                <w:rFonts w:cs="Arial"/>
                <w:sz w:val="20"/>
                <w:szCs w:val="20"/>
              </w:rPr>
            </w:pPr>
            <w:r w:rsidRPr="00771904">
              <w:rPr>
                <w:rFonts w:cs="Arial"/>
                <w:b/>
                <w:sz w:val="20"/>
                <w:szCs w:val="20"/>
              </w:rPr>
              <w:t>Indicator 8B:</w:t>
            </w:r>
            <w:r w:rsidRPr="00771904">
              <w:rPr>
                <w:rFonts w:cs="Arial"/>
                <w:sz w:val="20"/>
                <w:szCs w:val="20"/>
              </w:rPr>
              <w:t xml:space="preserve">  </w:t>
            </w:r>
            <w:r w:rsidR="00906293" w:rsidRPr="00771904">
              <w:rPr>
                <w:rFonts w:cs="Arial"/>
                <w:sz w:val="20"/>
                <w:szCs w:val="20"/>
              </w:rPr>
              <w:t xml:space="preserve">The percentage of toddlers with disabilities exiting Part C with timely transition planning for whom the Lead Agency has notified (consistent with any opt-out policy adopted by </w:t>
            </w:r>
            <w:r w:rsidR="00192829" w:rsidRPr="00771904">
              <w:rPr>
                <w:rFonts w:cs="Arial"/>
                <w:sz w:val="20"/>
                <w:szCs w:val="20"/>
              </w:rPr>
              <w:t>the state</w:t>
            </w:r>
            <w:r w:rsidR="00906293" w:rsidRPr="00771904">
              <w:rPr>
                <w:rFonts w:cs="Arial"/>
                <w:sz w:val="20"/>
                <w:szCs w:val="20"/>
              </w:rPr>
              <w:t>) the SEA and the LEA where the toddler resides at least 90 days prior to the toddler’s third birthday for potentially eligible Part B preschool services.  (Transition Notification)</w:t>
            </w:r>
          </w:p>
          <w:p w:rsidR="009526D1" w:rsidRPr="00771904" w:rsidRDefault="009526D1" w:rsidP="00906293">
            <w:pPr>
              <w:ind w:left="1440" w:hanging="1440"/>
              <w:rPr>
                <w:rFonts w:cs="Arial"/>
                <w:b/>
                <w:sz w:val="20"/>
                <w:szCs w:val="20"/>
              </w:rPr>
            </w:pPr>
            <w:r w:rsidRPr="00771904">
              <w:rPr>
                <w:rFonts w:cs="Arial"/>
                <w:sz w:val="20"/>
                <w:szCs w:val="20"/>
              </w:rPr>
              <w:t>(20 U.S.C. 1416(a)(3)(B) and 1442)</w:t>
            </w:r>
          </w:p>
        </w:tc>
      </w:tr>
      <w:tr w:rsidR="000E3D8A" w:rsidRPr="00771904" w:rsidTr="00544CEF">
        <w:trPr>
          <w:gridAfter w:val="1"/>
          <w:wAfter w:w="18" w:type="dxa"/>
        </w:trPr>
        <w:tc>
          <w:tcPr>
            <w:tcW w:w="9558" w:type="dxa"/>
          </w:tcPr>
          <w:p w:rsidR="000E3D8A" w:rsidRPr="00771904" w:rsidRDefault="000E3D8A" w:rsidP="00906293">
            <w:pPr>
              <w:pStyle w:val="Header"/>
              <w:tabs>
                <w:tab w:val="clear" w:pos="4320"/>
                <w:tab w:val="clear" w:pos="8640"/>
              </w:tabs>
              <w:rPr>
                <w:rFonts w:cs="Arial"/>
                <w:sz w:val="20"/>
                <w:szCs w:val="20"/>
              </w:rPr>
            </w:pPr>
            <w:bookmarkStart w:id="12" w:name="Ind8b"/>
            <w:bookmarkEnd w:id="12"/>
            <w:r w:rsidRPr="00771904">
              <w:rPr>
                <w:rFonts w:cs="Arial"/>
                <w:b/>
                <w:sz w:val="20"/>
                <w:szCs w:val="20"/>
              </w:rPr>
              <w:t>Measurement:</w:t>
            </w:r>
            <w:r w:rsidRPr="00771904">
              <w:rPr>
                <w:rFonts w:cs="Arial"/>
                <w:sz w:val="20"/>
                <w:szCs w:val="20"/>
              </w:rPr>
              <w:t xml:space="preserve"> </w:t>
            </w:r>
          </w:p>
          <w:p w:rsidR="000C2353" w:rsidRPr="00771904" w:rsidRDefault="000C2353" w:rsidP="000C2353">
            <w:pPr>
              <w:pStyle w:val="Header"/>
              <w:ind w:left="-18" w:firstLine="14"/>
              <w:rPr>
                <w:rFonts w:cs="Arial"/>
                <w:sz w:val="20"/>
                <w:szCs w:val="20"/>
              </w:rPr>
            </w:pPr>
            <w:r w:rsidRPr="00771904">
              <w:rPr>
                <w:rFonts w:cs="Arial"/>
                <w:sz w:val="20"/>
                <w:szCs w:val="20"/>
              </w:rPr>
              <w:t xml:space="preserve">Percent = [(# of toddlers with disabilities exiting part C where notification (consistent with any opt-out policy adopted by </w:t>
            </w:r>
            <w:r w:rsidR="00192829" w:rsidRPr="00771904">
              <w:rPr>
                <w:rFonts w:cs="Arial"/>
                <w:sz w:val="20"/>
                <w:szCs w:val="20"/>
              </w:rPr>
              <w:t>the state</w:t>
            </w:r>
            <w:r w:rsidRPr="00771904">
              <w:rPr>
                <w:rFonts w:cs="Arial"/>
                <w:sz w:val="20"/>
                <w:szCs w:val="20"/>
              </w:rPr>
              <w:t xml:space="preserve">) to the SEA and the LEA occurred at least 90 days prior to their third birthday for toddlers potentially eligible for Part B preschool services) divided by the (# of toddlers with disabilities who were potentially eligible for Part B)] times 100. </w:t>
            </w:r>
          </w:p>
          <w:p w:rsidR="000E3D8A" w:rsidRPr="00771904" w:rsidRDefault="000C2353" w:rsidP="000C2353">
            <w:pPr>
              <w:pStyle w:val="Header"/>
              <w:tabs>
                <w:tab w:val="clear" w:pos="4320"/>
                <w:tab w:val="clear" w:pos="8640"/>
              </w:tabs>
              <w:rPr>
                <w:rFonts w:cs="Arial"/>
                <w:sz w:val="20"/>
                <w:szCs w:val="20"/>
              </w:rPr>
            </w:pPr>
            <w:r w:rsidRPr="00771904">
              <w:rPr>
                <w:rFonts w:cs="Arial"/>
                <w:sz w:val="20"/>
                <w:szCs w:val="20"/>
              </w:rPr>
              <w:t>Account for untimely transition planning, including the reasons for delays.</w:t>
            </w:r>
          </w:p>
        </w:tc>
      </w:tr>
    </w:tbl>
    <w:p w:rsidR="000E3D8A" w:rsidRPr="00771904" w:rsidRDefault="000E3D8A" w:rsidP="000E3D8A">
      <w:pPr>
        <w:ind w:left="360"/>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0E3D8A" w:rsidRPr="00771904" w:rsidTr="00251E1F">
        <w:tc>
          <w:tcPr>
            <w:tcW w:w="1548" w:type="dxa"/>
          </w:tcPr>
          <w:p w:rsidR="000E3D8A" w:rsidRPr="00771904" w:rsidRDefault="000E3D8A" w:rsidP="00544CEF">
            <w:pPr>
              <w:jc w:val="center"/>
              <w:rPr>
                <w:rFonts w:cs="Arial"/>
                <w:b/>
                <w:sz w:val="20"/>
                <w:szCs w:val="20"/>
                <w:shd w:val="pct20" w:color="auto" w:fill="auto"/>
              </w:rPr>
            </w:pPr>
            <w:r w:rsidRPr="00771904">
              <w:rPr>
                <w:rFonts w:cs="Arial"/>
                <w:b/>
                <w:sz w:val="20"/>
                <w:szCs w:val="20"/>
              </w:rPr>
              <w:t>FFY</w:t>
            </w:r>
            <w:r w:rsidR="00205C4E" w:rsidRPr="00771904">
              <w:rPr>
                <w:rFonts w:cs="Arial"/>
                <w:b/>
                <w:sz w:val="20"/>
                <w:szCs w:val="20"/>
              </w:rPr>
              <w:t>12</w:t>
            </w:r>
          </w:p>
        </w:tc>
        <w:tc>
          <w:tcPr>
            <w:tcW w:w="8100" w:type="dxa"/>
          </w:tcPr>
          <w:p w:rsidR="000E3D8A" w:rsidRPr="00771904" w:rsidRDefault="000E3D8A" w:rsidP="00544CEF">
            <w:pPr>
              <w:jc w:val="center"/>
              <w:rPr>
                <w:rFonts w:cs="Arial"/>
                <w:b/>
                <w:sz w:val="20"/>
                <w:szCs w:val="20"/>
              </w:rPr>
            </w:pPr>
            <w:r w:rsidRPr="00771904">
              <w:rPr>
                <w:rFonts w:cs="Arial"/>
                <w:b/>
                <w:sz w:val="20"/>
                <w:szCs w:val="20"/>
              </w:rPr>
              <w:t>Measurable and Rigorous Target</w:t>
            </w:r>
          </w:p>
        </w:tc>
      </w:tr>
      <w:tr w:rsidR="000E3D8A" w:rsidRPr="00771904" w:rsidTr="00251E1F">
        <w:tc>
          <w:tcPr>
            <w:tcW w:w="1548" w:type="dxa"/>
            <w:vAlign w:val="center"/>
          </w:tcPr>
          <w:p w:rsidR="000E3D8A" w:rsidRPr="00771904" w:rsidRDefault="002A6A91" w:rsidP="00251E1F">
            <w:pPr>
              <w:jc w:val="center"/>
              <w:rPr>
                <w:rFonts w:cs="Arial"/>
                <w:i/>
                <w:szCs w:val="22"/>
              </w:rPr>
            </w:pPr>
            <w:r w:rsidRPr="00771904">
              <w:rPr>
                <w:rFonts w:cs="Arial"/>
                <w:i/>
                <w:szCs w:val="22"/>
              </w:rPr>
              <w:t>7/1/12-6/30/13</w:t>
            </w:r>
          </w:p>
        </w:tc>
        <w:tc>
          <w:tcPr>
            <w:tcW w:w="8100" w:type="dxa"/>
            <w:vAlign w:val="center"/>
          </w:tcPr>
          <w:p w:rsidR="000E3D8A" w:rsidRPr="00771904" w:rsidRDefault="000E3D8A" w:rsidP="00251E1F">
            <w:pPr>
              <w:jc w:val="center"/>
              <w:rPr>
                <w:rFonts w:cs="Arial"/>
                <w:i/>
                <w:szCs w:val="22"/>
              </w:rPr>
            </w:pPr>
            <w:r w:rsidRPr="00771904">
              <w:rPr>
                <w:rFonts w:cs="Arial"/>
                <w:i/>
                <w:szCs w:val="22"/>
              </w:rPr>
              <w:t>100%</w:t>
            </w:r>
          </w:p>
        </w:tc>
      </w:tr>
    </w:tbl>
    <w:p w:rsidR="000E3D8A" w:rsidRPr="00771904" w:rsidRDefault="000E3D8A" w:rsidP="007C24E6">
      <w:pPr>
        <w:spacing w:before="120"/>
        <w:rPr>
          <w:rFonts w:cs="Arial"/>
          <w:b/>
          <w:color w:val="000000"/>
          <w:szCs w:val="22"/>
        </w:rPr>
      </w:pPr>
      <w:r w:rsidRPr="00771904">
        <w:rPr>
          <w:rFonts w:cs="Arial"/>
          <w:b/>
          <w:color w:val="000000"/>
          <w:szCs w:val="22"/>
        </w:rPr>
        <w:t xml:space="preserve">Actual Target Data for </w:t>
      </w:r>
      <w:r w:rsidR="00205C4E" w:rsidRPr="00771904">
        <w:rPr>
          <w:rFonts w:cs="Arial"/>
          <w:b/>
          <w:color w:val="000000"/>
          <w:szCs w:val="22"/>
        </w:rPr>
        <w:t>FFY 2012</w:t>
      </w:r>
      <w:r w:rsidRPr="00771904">
        <w:rPr>
          <w:rFonts w:cs="Arial"/>
          <w:b/>
          <w:color w:val="000000"/>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E3D8A" w:rsidRPr="00771904" w:rsidTr="00E71F84">
        <w:trPr>
          <w:trHeight w:val="350"/>
        </w:trPr>
        <w:tc>
          <w:tcPr>
            <w:tcW w:w="9648" w:type="dxa"/>
            <w:vAlign w:val="center"/>
          </w:tcPr>
          <w:p w:rsidR="000713C9" w:rsidRPr="00771904" w:rsidRDefault="000E3D8A" w:rsidP="00E71F84">
            <w:pPr>
              <w:jc w:val="center"/>
              <w:rPr>
                <w:rFonts w:cs="Arial"/>
                <w:i/>
                <w:color w:val="000000"/>
                <w:sz w:val="10"/>
                <w:szCs w:val="10"/>
              </w:rPr>
            </w:pPr>
            <w:r w:rsidRPr="00771904">
              <w:rPr>
                <w:rFonts w:cs="Arial"/>
                <w:i/>
                <w:color w:val="000000"/>
                <w:szCs w:val="22"/>
              </w:rPr>
              <w:t>100%</w:t>
            </w:r>
            <w:r w:rsidR="00084DB5" w:rsidRPr="00771904">
              <w:rPr>
                <w:rFonts w:cs="Arial"/>
                <w:i/>
                <w:color w:val="000000"/>
                <w:szCs w:val="22"/>
              </w:rPr>
              <w:t xml:space="preserve"> - </w:t>
            </w:r>
            <w:r w:rsidR="000713C9" w:rsidRPr="00771904">
              <w:rPr>
                <w:rFonts w:cs="Arial"/>
                <w:i/>
                <w:color w:val="000000" w:themeColor="text1"/>
                <w:szCs w:val="20"/>
              </w:rPr>
              <w:t>State Met Target</w:t>
            </w:r>
          </w:p>
        </w:tc>
      </w:tr>
    </w:tbl>
    <w:p w:rsidR="000E3D8A" w:rsidRPr="00BA0F8D" w:rsidRDefault="00B81D25" w:rsidP="0020206F">
      <w:pPr>
        <w:autoSpaceDE w:val="0"/>
        <w:autoSpaceDN w:val="0"/>
        <w:adjustRightInd w:val="0"/>
        <w:ind w:right="-90"/>
        <w:rPr>
          <w:rFonts w:eastAsia="Calibri" w:cs="Arial"/>
          <w:bCs/>
          <w:color w:val="7030A0"/>
          <w:szCs w:val="22"/>
        </w:rPr>
      </w:pPr>
      <w:r w:rsidRPr="00771904">
        <w:rPr>
          <w:rFonts w:eastAsia="Calibri" w:cs="Arial"/>
          <w:bCs/>
          <w:color w:val="000000"/>
          <w:szCs w:val="22"/>
        </w:rPr>
        <w:t xml:space="preserve">Since </w:t>
      </w:r>
      <w:r w:rsidR="00C34FFF" w:rsidRPr="00771904">
        <w:rPr>
          <w:rFonts w:eastAsia="Calibri" w:cs="Arial"/>
          <w:bCs/>
          <w:color w:val="000000"/>
          <w:szCs w:val="22"/>
        </w:rPr>
        <w:t>July 1 2010</w:t>
      </w:r>
      <w:r w:rsidRPr="00771904">
        <w:rPr>
          <w:rFonts w:eastAsia="Calibri" w:cs="Arial"/>
          <w:bCs/>
          <w:color w:val="000000"/>
          <w:szCs w:val="22"/>
        </w:rPr>
        <w:t xml:space="preserve">, using </w:t>
      </w:r>
      <w:r w:rsidR="000E3D8A" w:rsidRPr="00771904">
        <w:rPr>
          <w:rFonts w:eastAsia="Calibri" w:cs="Arial"/>
          <w:bCs/>
          <w:color w:val="000000"/>
          <w:szCs w:val="22"/>
        </w:rPr>
        <w:t>its statewide database</w:t>
      </w:r>
      <w:r w:rsidR="00C84DD4" w:rsidRPr="00771904">
        <w:rPr>
          <w:rFonts w:eastAsia="Calibri" w:cs="Arial"/>
          <w:bCs/>
          <w:color w:val="000000"/>
          <w:szCs w:val="22"/>
        </w:rPr>
        <w:t>,</w:t>
      </w:r>
      <w:r w:rsidR="000E3D8A" w:rsidRPr="00771904">
        <w:rPr>
          <w:rFonts w:eastAsia="Calibri" w:cs="Arial"/>
          <w:bCs/>
          <w:color w:val="000000"/>
          <w:szCs w:val="22"/>
        </w:rPr>
        <w:t xml:space="preserve"> the lead agency </w:t>
      </w:r>
      <w:r w:rsidRPr="00771904">
        <w:rPr>
          <w:rFonts w:eastAsia="Calibri" w:cs="Arial"/>
          <w:bCs/>
          <w:color w:val="000000"/>
          <w:szCs w:val="22"/>
        </w:rPr>
        <w:t>has been exporting</w:t>
      </w:r>
      <w:r w:rsidR="000E3D8A" w:rsidRPr="00771904">
        <w:rPr>
          <w:rFonts w:eastAsia="Calibri" w:cs="Arial"/>
          <w:bCs/>
          <w:color w:val="000000"/>
          <w:szCs w:val="22"/>
        </w:rPr>
        <w:t xml:space="preserve"> notification data to </w:t>
      </w:r>
      <w:r w:rsidR="00192829" w:rsidRPr="00771904">
        <w:rPr>
          <w:rFonts w:eastAsia="Calibri" w:cs="Arial"/>
          <w:bCs/>
          <w:color w:val="000000"/>
          <w:szCs w:val="22"/>
        </w:rPr>
        <w:t>the State</w:t>
      </w:r>
      <w:r w:rsidR="000E3D8A" w:rsidRPr="00771904">
        <w:rPr>
          <w:rFonts w:eastAsia="Calibri" w:cs="Arial"/>
          <w:bCs/>
          <w:color w:val="000000"/>
          <w:szCs w:val="22"/>
        </w:rPr>
        <w:t xml:space="preserve"> Department of Education (</w:t>
      </w:r>
      <w:r w:rsidR="000E3D8A" w:rsidRPr="0020206F">
        <w:rPr>
          <w:rFonts w:eastAsia="Calibri" w:cs="Arial"/>
          <w:b/>
          <w:bCs/>
          <w:color w:val="7030A0"/>
          <w:szCs w:val="22"/>
        </w:rPr>
        <w:t>S</w:t>
      </w:r>
      <w:r w:rsidR="0020206F" w:rsidRPr="0020206F">
        <w:rPr>
          <w:rFonts w:eastAsia="Calibri" w:cs="Arial"/>
          <w:b/>
          <w:bCs/>
          <w:color w:val="7030A0"/>
          <w:szCs w:val="22"/>
        </w:rPr>
        <w:t>EA</w:t>
      </w:r>
      <w:r w:rsidR="000E3D8A" w:rsidRPr="00771904">
        <w:rPr>
          <w:rFonts w:eastAsia="Calibri" w:cs="Arial"/>
          <w:bCs/>
          <w:color w:val="000000"/>
          <w:szCs w:val="22"/>
        </w:rPr>
        <w:t>)</w:t>
      </w:r>
      <w:r w:rsidR="008914D5" w:rsidRPr="00771904">
        <w:rPr>
          <w:rFonts w:eastAsia="Calibri" w:cs="Arial"/>
          <w:bCs/>
          <w:color w:val="000000"/>
          <w:szCs w:val="22"/>
        </w:rPr>
        <w:t xml:space="preserve"> </w:t>
      </w:r>
      <w:r w:rsidR="008914D5" w:rsidRPr="00771904">
        <w:rPr>
          <w:rFonts w:eastAsia="Calibri" w:cs="Arial"/>
          <w:bCs/>
          <w:i/>
          <w:color w:val="000000"/>
          <w:szCs w:val="22"/>
        </w:rPr>
        <w:t>every night</w:t>
      </w:r>
      <w:r w:rsidR="008914D5" w:rsidRPr="00771904">
        <w:rPr>
          <w:rFonts w:eastAsia="Calibri" w:cs="Arial"/>
          <w:bCs/>
          <w:color w:val="000000"/>
          <w:szCs w:val="22"/>
        </w:rPr>
        <w:t xml:space="preserve"> </w:t>
      </w:r>
      <w:r w:rsidR="00BA0F8D" w:rsidRPr="00BA0F8D">
        <w:rPr>
          <w:rFonts w:eastAsia="Calibri" w:cs="Arial"/>
          <w:b/>
          <w:bCs/>
          <w:color w:val="7030A0"/>
          <w:szCs w:val="22"/>
        </w:rPr>
        <w:t xml:space="preserve">for all eligible children over </w:t>
      </w:r>
      <w:r w:rsidR="008F1D7B">
        <w:rPr>
          <w:rFonts w:eastAsia="Calibri" w:cs="Arial"/>
          <w:b/>
          <w:bCs/>
          <w:color w:val="7030A0"/>
          <w:szCs w:val="22"/>
        </w:rPr>
        <w:t xml:space="preserve">the </w:t>
      </w:r>
      <w:r w:rsidR="00BA0F8D" w:rsidRPr="00BA0F8D">
        <w:rPr>
          <w:rFonts w:eastAsia="Calibri" w:cs="Arial"/>
          <w:b/>
          <w:bCs/>
          <w:color w:val="7030A0"/>
          <w:szCs w:val="22"/>
        </w:rPr>
        <w:t xml:space="preserve">age </w:t>
      </w:r>
      <w:r w:rsidR="008F1D7B">
        <w:rPr>
          <w:rFonts w:eastAsia="Calibri" w:cs="Arial"/>
          <w:b/>
          <w:bCs/>
          <w:color w:val="7030A0"/>
          <w:szCs w:val="22"/>
        </w:rPr>
        <w:t xml:space="preserve">of </w:t>
      </w:r>
      <w:r w:rsidR="00BA0F8D" w:rsidRPr="00E71F84">
        <w:rPr>
          <w:rFonts w:eastAsia="Calibri" w:cs="Arial"/>
          <w:b/>
          <w:bCs/>
          <w:color w:val="7030A0"/>
          <w:szCs w:val="22"/>
        </w:rPr>
        <w:t>2½</w:t>
      </w:r>
      <w:r w:rsidR="008F1D7B">
        <w:rPr>
          <w:rFonts w:eastAsia="Calibri" w:cs="Arial"/>
          <w:b/>
          <w:bCs/>
          <w:color w:val="7030A0"/>
          <w:szCs w:val="22"/>
        </w:rPr>
        <w:t xml:space="preserve"> years</w:t>
      </w:r>
      <w:r w:rsidR="00BA0F8D" w:rsidRPr="00E71F84">
        <w:rPr>
          <w:rFonts w:eastAsia="Calibri" w:cs="Arial"/>
          <w:bCs/>
          <w:color w:val="7030A0"/>
          <w:szCs w:val="22"/>
        </w:rPr>
        <w:t xml:space="preserve"> </w:t>
      </w:r>
      <w:r w:rsidR="008914D5" w:rsidRPr="00771904">
        <w:rPr>
          <w:rFonts w:eastAsia="Calibri" w:cs="Arial"/>
          <w:bCs/>
          <w:color w:val="000000"/>
          <w:szCs w:val="22"/>
        </w:rPr>
        <w:t>so as to assure timely notification.  T</w:t>
      </w:r>
      <w:r w:rsidRPr="00771904">
        <w:rPr>
          <w:rFonts w:eastAsia="Calibri" w:cs="Arial"/>
          <w:bCs/>
          <w:color w:val="000000"/>
          <w:szCs w:val="22"/>
        </w:rPr>
        <w:t xml:space="preserve">he data </w:t>
      </w:r>
      <w:r w:rsidR="008914D5" w:rsidRPr="00771904">
        <w:rPr>
          <w:rFonts w:eastAsia="Calibri" w:cs="Arial"/>
          <w:bCs/>
          <w:color w:val="000000"/>
          <w:szCs w:val="22"/>
        </w:rPr>
        <w:t xml:space="preserve">is imported into Connecticut’s Special Education Data Application and Collection (SEDAC) system and is </w:t>
      </w:r>
      <w:r w:rsidR="00D60B2A" w:rsidRPr="00771904">
        <w:rPr>
          <w:rFonts w:eastAsia="Calibri" w:cs="Arial"/>
          <w:bCs/>
          <w:color w:val="000000"/>
          <w:szCs w:val="22"/>
        </w:rPr>
        <w:t xml:space="preserve">then </w:t>
      </w:r>
      <w:r w:rsidR="00084DB5" w:rsidRPr="00771904">
        <w:rPr>
          <w:rFonts w:eastAsia="Calibri" w:cs="Arial"/>
          <w:bCs/>
          <w:color w:val="000000"/>
          <w:szCs w:val="22"/>
        </w:rPr>
        <w:t xml:space="preserve">automatically </w:t>
      </w:r>
      <w:r w:rsidRPr="00771904">
        <w:rPr>
          <w:rFonts w:eastAsia="Calibri" w:cs="Arial"/>
          <w:bCs/>
          <w:color w:val="000000"/>
          <w:szCs w:val="22"/>
        </w:rPr>
        <w:t xml:space="preserve">available to </w:t>
      </w:r>
      <w:r w:rsidR="00332030" w:rsidRPr="00771904">
        <w:rPr>
          <w:rFonts w:eastAsia="Calibri" w:cs="Arial"/>
          <w:bCs/>
          <w:color w:val="000000"/>
          <w:szCs w:val="22"/>
        </w:rPr>
        <w:t xml:space="preserve">the </w:t>
      </w:r>
      <w:r w:rsidRPr="00771904">
        <w:rPr>
          <w:rFonts w:eastAsia="Calibri" w:cs="Arial"/>
          <w:bCs/>
          <w:color w:val="000000"/>
          <w:szCs w:val="22"/>
        </w:rPr>
        <w:t xml:space="preserve">school districts (Local Education Agencies or LEAs) </w:t>
      </w:r>
      <w:r w:rsidR="00332030" w:rsidRPr="00771904">
        <w:rPr>
          <w:rFonts w:eastAsia="Calibri" w:cs="Arial"/>
          <w:bCs/>
          <w:color w:val="000000"/>
          <w:szCs w:val="22"/>
        </w:rPr>
        <w:t>each morning</w:t>
      </w:r>
      <w:r w:rsidR="008914D5" w:rsidRPr="00771904">
        <w:rPr>
          <w:rFonts w:eastAsia="Calibri" w:cs="Arial"/>
          <w:bCs/>
          <w:color w:val="000000"/>
          <w:szCs w:val="22"/>
        </w:rPr>
        <w:t xml:space="preserve">. </w:t>
      </w:r>
      <w:r w:rsidR="00332030" w:rsidRPr="00771904">
        <w:rPr>
          <w:rFonts w:eastAsia="Calibri" w:cs="Arial"/>
          <w:bCs/>
          <w:color w:val="000000"/>
          <w:szCs w:val="22"/>
        </w:rPr>
        <w:t xml:space="preserve">Over the course of the </w:t>
      </w:r>
      <w:r w:rsidR="006F16EB" w:rsidRPr="00771904">
        <w:rPr>
          <w:rFonts w:eastAsia="Calibri" w:cs="Arial"/>
          <w:bCs/>
          <w:color w:val="000000"/>
          <w:szCs w:val="22"/>
        </w:rPr>
        <w:t>‘</w:t>
      </w:r>
      <w:r w:rsidRPr="00771904">
        <w:rPr>
          <w:rFonts w:eastAsia="Calibri" w:cs="Arial"/>
          <w:bCs/>
          <w:color w:val="000000"/>
          <w:szCs w:val="22"/>
        </w:rPr>
        <w:t>1</w:t>
      </w:r>
      <w:r w:rsidR="006F16EB" w:rsidRPr="00771904">
        <w:rPr>
          <w:rFonts w:eastAsia="Calibri" w:cs="Arial"/>
          <w:bCs/>
          <w:color w:val="000000"/>
          <w:szCs w:val="22"/>
        </w:rPr>
        <w:t>2</w:t>
      </w:r>
      <w:r w:rsidRPr="00771904">
        <w:rPr>
          <w:rFonts w:eastAsia="Calibri" w:cs="Arial"/>
          <w:bCs/>
          <w:color w:val="000000"/>
          <w:szCs w:val="22"/>
        </w:rPr>
        <w:t>-‘1</w:t>
      </w:r>
      <w:r w:rsidR="006F16EB" w:rsidRPr="00771904">
        <w:rPr>
          <w:rFonts w:eastAsia="Calibri" w:cs="Arial"/>
          <w:bCs/>
          <w:color w:val="000000"/>
          <w:szCs w:val="22"/>
        </w:rPr>
        <w:t>3</w:t>
      </w:r>
      <w:r w:rsidRPr="00771904">
        <w:rPr>
          <w:rFonts w:eastAsia="Calibri" w:cs="Arial"/>
          <w:bCs/>
          <w:color w:val="000000"/>
          <w:szCs w:val="22"/>
        </w:rPr>
        <w:t xml:space="preserve"> year </w:t>
      </w:r>
      <w:r w:rsidR="00C34FFF" w:rsidRPr="00771904">
        <w:rPr>
          <w:rFonts w:eastAsia="Calibri" w:cs="Arial"/>
          <w:bCs/>
          <w:color w:val="000000"/>
          <w:szCs w:val="22"/>
        </w:rPr>
        <w:t>433</w:t>
      </w:r>
      <w:r w:rsidR="00B0178A" w:rsidRPr="00771904">
        <w:rPr>
          <w:rFonts w:eastAsia="Calibri" w:cs="Arial"/>
          <w:bCs/>
          <w:color w:val="000000"/>
          <w:szCs w:val="22"/>
        </w:rPr>
        <w:t xml:space="preserve">9 children exited Birth to </w:t>
      </w:r>
      <w:proofErr w:type="gramStart"/>
      <w:r w:rsidR="00B0178A" w:rsidRPr="00771904">
        <w:rPr>
          <w:rFonts w:eastAsia="Calibri" w:cs="Arial"/>
          <w:bCs/>
          <w:color w:val="000000"/>
          <w:szCs w:val="22"/>
        </w:rPr>
        <w:t>Three</w:t>
      </w:r>
      <w:proofErr w:type="gramEnd"/>
      <w:r w:rsidR="00B0178A" w:rsidRPr="00771904">
        <w:rPr>
          <w:rFonts w:eastAsia="Calibri" w:cs="Arial"/>
          <w:bCs/>
          <w:color w:val="000000"/>
          <w:szCs w:val="22"/>
        </w:rPr>
        <w:t xml:space="preserve">.  </w:t>
      </w:r>
      <w:r w:rsidR="009F203E" w:rsidRPr="00771904">
        <w:rPr>
          <w:rFonts w:eastAsia="Calibri" w:cs="Arial"/>
          <w:bCs/>
          <w:color w:val="000000"/>
          <w:szCs w:val="22"/>
        </w:rPr>
        <w:t>26</w:t>
      </w:r>
      <w:r w:rsidR="00B0178A" w:rsidRPr="00771904">
        <w:rPr>
          <w:rFonts w:eastAsia="Calibri" w:cs="Arial"/>
          <w:bCs/>
          <w:color w:val="000000"/>
          <w:szCs w:val="22"/>
        </w:rPr>
        <w:t xml:space="preserve"> of those </w:t>
      </w:r>
      <w:r w:rsidR="009F203E" w:rsidRPr="00771904">
        <w:rPr>
          <w:rFonts w:eastAsia="Calibri" w:cs="Arial"/>
          <w:bCs/>
          <w:color w:val="000000"/>
          <w:szCs w:val="22"/>
        </w:rPr>
        <w:t xml:space="preserve">children </w:t>
      </w:r>
      <w:r w:rsidR="00B0178A" w:rsidRPr="00771904">
        <w:rPr>
          <w:rFonts w:eastAsia="Calibri" w:cs="Arial"/>
          <w:bCs/>
          <w:color w:val="000000"/>
          <w:szCs w:val="22"/>
        </w:rPr>
        <w:t>were determined to be eligible</w:t>
      </w:r>
      <w:r w:rsidR="000C2353" w:rsidRPr="00771904">
        <w:rPr>
          <w:rFonts w:eastAsia="Calibri" w:cs="Arial"/>
          <w:bCs/>
          <w:color w:val="000000"/>
          <w:szCs w:val="22"/>
        </w:rPr>
        <w:t xml:space="preserve"> </w:t>
      </w:r>
      <w:r w:rsidR="00084DB5" w:rsidRPr="00771904">
        <w:rPr>
          <w:rFonts w:eastAsia="Calibri" w:cs="Arial"/>
          <w:bCs/>
          <w:color w:val="000000"/>
          <w:szCs w:val="22"/>
        </w:rPr>
        <w:t xml:space="preserve">for Part C </w:t>
      </w:r>
      <w:r w:rsidR="00B0178A" w:rsidRPr="00771904">
        <w:rPr>
          <w:rFonts w:eastAsia="Calibri" w:cs="Arial"/>
          <w:bCs/>
          <w:color w:val="000000"/>
          <w:szCs w:val="22"/>
        </w:rPr>
        <w:t xml:space="preserve">within 90 days of age 3.  Of the remaining </w:t>
      </w:r>
      <w:r w:rsidR="009F203E" w:rsidRPr="00771904">
        <w:rPr>
          <w:rFonts w:eastAsia="Calibri" w:cs="Arial"/>
          <w:bCs/>
          <w:color w:val="000000"/>
          <w:szCs w:val="22"/>
        </w:rPr>
        <w:t>4313</w:t>
      </w:r>
      <w:r w:rsidR="00B0178A" w:rsidRPr="00771904">
        <w:rPr>
          <w:rFonts w:eastAsia="Calibri" w:cs="Arial"/>
          <w:bCs/>
          <w:color w:val="000000"/>
          <w:szCs w:val="22"/>
        </w:rPr>
        <w:t xml:space="preserve"> children</w:t>
      </w:r>
      <w:r w:rsidR="00084DB5" w:rsidRPr="00771904">
        <w:rPr>
          <w:rFonts w:eastAsia="Calibri" w:cs="Arial"/>
          <w:bCs/>
          <w:color w:val="000000"/>
          <w:szCs w:val="22"/>
        </w:rPr>
        <w:t>,</w:t>
      </w:r>
      <w:r w:rsidR="00B0178A" w:rsidRPr="00771904">
        <w:rPr>
          <w:rFonts w:eastAsia="Calibri" w:cs="Arial"/>
          <w:bCs/>
          <w:color w:val="000000"/>
          <w:szCs w:val="22"/>
        </w:rPr>
        <w:t xml:space="preserve"> </w:t>
      </w:r>
      <w:r w:rsidR="00C34FFF" w:rsidRPr="00771904">
        <w:rPr>
          <w:rFonts w:eastAsia="Calibri" w:cs="Arial"/>
          <w:bCs/>
          <w:color w:val="000000"/>
          <w:szCs w:val="22"/>
        </w:rPr>
        <w:t>3</w:t>
      </w:r>
      <w:r w:rsidR="009F203E" w:rsidRPr="00771904">
        <w:rPr>
          <w:rFonts w:eastAsia="Calibri" w:cs="Arial"/>
          <w:bCs/>
          <w:color w:val="000000"/>
          <w:szCs w:val="22"/>
        </w:rPr>
        <w:t>13</w:t>
      </w:r>
      <w:r w:rsidR="00C34FFF" w:rsidRPr="00771904">
        <w:rPr>
          <w:rFonts w:eastAsia="Calibri" w:cs="Arial"/>
          <w:bCs/>
          <w:color w:val="000000"/>
          <w:szCs w:val="22"/>
        </w:rPr>
        <w:t>9</w:t>
      </w:r>
      <w:r w:rsidR="00332030" w:rsidRPr="00771904">
        <w:rPr>
          <w:rFonts w:eastAsia="Calibri" w:cs="Arial"/>
          <w:bCs/>
          <w:color w:val="000000"/>
          <w:szCs w:val="22"/>
        </w:rPr>
        <w:t xml:space="preserve"> </w:t>
      </w:r>
      <w:r w:rsidR="000E3D8A" w:rsidRPr="00771904">
        <w:rPr>
          <w:rFonts w:eastAsia="Calibri" w:cs="Arial"/>
          <w:bCs/>
          <w:color w:val="000000"/>
          <w:szCs w:val="22"/>
        </w:rPr>
        <w:t>children</w:t>
      </w:r>
      <w:r w:rsidR="00C34FFF" w:rsidRPr="00771904">
        <w:rPr>
          <w:rFonts w:eastAsia="Calibri" w:cs="Arial"/>
          <w:bCs/>
          <w:color w:val="000000"/>
          <w:szCs w:val="22"/>
        </w:rPr>
        <w:t xml:space="preserve"> </w:t>
      </w:r>
      <w:r w:rsidR="00084DB5" w:rsidRPr="00771904">
        <w:rPr>
          <w:rFonts w:eastAsia="Calibri" w:cs="Arial"/>
          <w:bCs/>
          <w:color w:val="000000"/>
          <w:szCs w:val="22"/>
        </w:rPr>
        <w:t xml:space="preserve">exited after </w:t>
      </w:r>
      <w:r w:rsidR="0020206F">
        <w:rPr>
          <w:rFonts w:eastAsia="Calibri" w:cs="Arial"/>
          <w:bCs/>
          <w:color w:val="000000"/>
          <w:szCs w:val="22"/>
        </w:rPr>
        <w:t xml:space="preserve">reaching </w:t>
      </w:r>
      <w:r w:rsidR="009D75F8" w:rsidRPr="00771904">
        <w:rPr>
          <w:rFonts w:eastAsia="Calibri" w:cs="Arial"/>
          <w:bCs/>
          <w:color w:val="000000"/>
          <w:szCs w:val="22"/>
        </w:rPr>
        <w:t>age 2 ½</w:t>
      </w:r>
      <w:r w:rsidR="001603FD" w:rsidRPr="00771904">
        <w:rPr>
          <w:rFonts w:eastAsia="Calibri" w:cs="Arial"/>
          <w:bCs/>
          <w:color w:val="000000"/>
          <w:szCs w:val="22"/>
        </w:rPr>
        <w:t xml:space="preserve"> </w:t>
      </w:r>
      <w:r w:rsidR="00602EE8" w:rsidRPr="00771904">
        <w:rPr>
          <w:rFonts w:eastAsia="Calibri" w:cs="Arial"/>
          <w:bCs/>
          <w:color w:val="000000"/>
          <w:szCs w:val="22"/>
        </w:rPr>
        <w:t xml:space="preserve">and were </w:t>
      </w:r>
      <w:r w:rsidR="00764BF9" w:rsidRPr="00771904">
        <w:rPr>
          <w:rFonts w:eastAsia="Calibri" w:cs="Arial"/>
          <w:bCs/>
          <w:color w:val="000000"/>
          <w:szCs w:val="22"/>
        </w:rPr>
        <w:t xml:space="preserve">therefore </w:t>
      </w:r>
      <w:r w:rsidR="00602EE8" w:rsidRPr="00771904">
        <w:rPr>
          <w:rFonts w:eastAsia="Calibri" w:cs="Arial"/>
          <w:bCs/>
          <w:color w:val="000000"/>
          <w:szCs w:val="22"/>
        </w:rPr>
        <w:t xml:space="preserve">considered </w:t>
      </w:r>
      <w:r w:rsidR="00771904" w:rsidRPr="00771904">
        <w:rPr>
          <w:rFonts w:eastAsia="Calibri" w:cs="Arial"/>
          <w:bCs/>
          <w:color w:val="000000"/>
          <w:szCs w:val="22"/>
        </w:rPr>
        <w:t xml:space="preserve">to be </w:t>
      </w:r>
      <w:r w:rsidR="00602EE8" w:rsidRPr="00771904">
        <w:rPr>
          <w:rFonts w:eastAsia="Calibri" w:cs="Arial"/>
          <w:bCs/>
          <w:color w:val="000000"/>
          <w:szCs w:val="22"/>
        </w:rPr>
        <w:t xml:space="preserve">potentially </w:t>
      </w:r>
      <w:r w:rsidR="00764BF9" w:rsidRPr="00771904">
        <w:rPr>
          <w:rFonts w:eastAsia="Calibri" w:cs="Arial"/>
          <w:bCs/>
          <w:color w:val="000000"/>
          <w:szCs w:val="22"/>
        </w:rPr>
        <w:t>eligible</w:t>
      </w:r>
      <w:r w:rsidR="00602EE8" w:rsidRPr="00771904">
        <w:rPr>
          <w:rFonts w:eastAsia="Calibri" w:cs="Arial"/>
          <w:bCs/>
          <w:color w:val="000000"/>
          <w:szCs w:val="22"/>
        </w:rPr>
        <w:t xml:space="preserve"> for Part B Early Childhood Special Education</w:t>
      </w:r>
      <w:r w:rsidR="00771904" w:rsidRPr="00771904">
        <w:rPr>
          <w:rFonts w:eastAsia="Calibri" w:cs="Arial"/>
          <w:bCs/>
          <w:color w:val="000000"/>
          <w:szCs w:val="22"/>
        </w:rPr>
        <w:t>.</w:t>
      </w:r>
      <w:r w:rsidR="00BA0F8D">
        <w:rPr>
          <w:rFonts w:eastAsia="Calibri" w:cs="Arial"/>
          <w:bCs/>
          <w:color w:val="000000"/>
          <w:szCs w:val="22"/>
        </w:rPr>
        <w:t xml:space="preserve"> </w:t>
      </w:r>
      <w:r w:rsidR="0020206F" w:rsidRPr="0020206F">
        <w:rPr>
          <w:rFonts w:eastAsia="Calibri" w:cs="Arial"/>
          <w:b/>
          <w:bCs/>
          <w:color w:val="7030A0"/>
          <w:szCs w:val="22"/>
        </w:rPr>
        <w:t>Nightly</w:t>
      </w:r>
      <w:r w:rsidR="0020206F" w:rsidRPr="0020206F">
        <w:rPr>
          <w:rFonts w:eastAsia="Calibri" w:cs="Arial"/>
          <w:bCs/>
          <w:color w:val="7030A0"/>
          <w:szCs w:val="22"/>
        </w:rPr>
        <w:t xml:space="preserve"> </w:t>
      </w:r>
      <w:r w:rsidR="0020206F">
        <w:rPr>
          <w:rFonts w:eastAsia="Calibri" w:cs="Arial"/>
          <w:b/>
          <w:bCs/>
          <w:color w:val="7030A0"/>
          <w:szCs w:val="22"/>
        </w:rPr>
        <w:t>n</w:t>
      </w:r>
      <w:r w:rsidR="00BA0F8D" w:rsidRPr="00BA0F8D">
        <w:rPr>
          <w:rFonts w:eastAsia="Calibri" w:cs="Arial"/>
          <w:b/>
          <w:bCs/>
          <w:color w:val="7030A0"/>
          <w:szCs w:val="22"/>
        </w:rPr>
        <w:t>otification data was transmitted for all 3139 children.</w:t>
      </w:r>
    </w:p>
    <w:p w:rsidR="008914D5" w:rsidRPr="00BA0F8D" w:rsidRDefault="008914D5" w:rsidP="000E3D8A">
      <w:pPr>
        <w:autoSpaceDE w:val="0"/>
        <w:autoSpaceDN w:val="0"/>
        <w:adjustRightInd w:val="0"/>
        <w:rPr>
          <w:rFonts w:eastAsia="Calibri" w:cs="Arial"/>
          <w:bCs/>
          <w:i/>
          <w:color w:val="7030A0"/>
          <w:sz w:val="8"/>
          <w:szCs w:val="8"/>
        </w:rPr>
      </w:pPr>
    </w:p>
    <w:p w:rsidR="000E3D8A" w:rsidRPr="00771904" w:rsidRDefault="000E3D8A" w:rsidP="000E3D8A">
      <w:pPr>
        <w:autoSpaceDE w:val="0"/>
        <w:autoSpaceDN w:val="0"/>
        <w:adjustRightInd w:val="0"/>
        <w:rPr>
          <w:rFonts w:eastAsia="Calibri" w:cs="Arial"/>
          <w:b/>
          <w:bCs/>
          <w:color w:val="000000"/>
          <w:szCs w:val="22"/>
        </w:rPr>
      </w:pPr>
      <w:r w:rsidRPr="00771904">
        <w:rPr>
          <w:rFonts w:eastAsia="Calibri" w:cs="Arial"/>
          <w:b/>
          <w:bCs/>
          <w:color w:val="000000"/>
          <w:szCs w:val="22"/>
        </w:rPr>
        <w:t xml:space="preserve">Children Exiting Part C who </w:t>
      </w:r>
      <w:proofErr w:type="gramStart"/>
      <w:r w:rsidR="00D60B2A" w:rsidRPr="00771904">
        <w:rPr>
          <w:rFonts w:eastAsia="Calibri" w:cs="Arial"/>
          <w:b/>
          <w:bCs/>
          <w:color w:val="000000"/>
          <w:szCs w:val="22"/>
        </w:rPr>
        <w:t>Received</w:t>
      </w:r>
      <w:proofErr w:type="gramEnd"/>
      <w:r w:rsidRPr="00771904">
        <w:rPr>
          <w:rFonts w:eastAsia="Calibri" w:cs="Arial"/>
          <w:b/>
          <w:bCs/>
          <w:color w:val="000000"/>
          <w:szCs w:val="22"/>
        </w:rPr>
        <w:t xml:space="preserve"> Timely Transition Planning (Notification to LEA):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900"/>
      </w:tblGrid>
      <w:tr w:rsidR="000E3D8A" w:rsidRPr="00771904" w:rsidTr="0020206F">
        <w:trPr>
          <w:trHeight w:val="350"/>
        </w:trPr>
        <w:tc>
          <w:tcPr>
            <w:tcW w:w="8748" w:type="dxa"/>
          </w:tcPr>
          <w:p w:rsidR="000E3D8A" w:rsidRPr="00771904" w:rsidRDefault="00A85892" w:rsidP="008F1D7B">
            <w:pPr>
              <w:pStyle w:val="ListParagraph"/>
              <w:numPr>
                <w:ilvl w:val="0"/>
                <w:numId w:val="11"/>
              </w:numPr>
              <w:autoSpaceDE w:val="0"/>
              <w:autoSpaceDN w:val="0"/>
              <w:adjustRightInd w:val="0"/>
              <w:rPr>
                <w:rFonts w:ascii="Arial" w:eastAsia="Calibri" w:hAnsi="Arial" w:cs="Arial"/>
                <w:color w:val="000000"/>
                <w:sz w:val="22"/>
                <w:szCs w:val="22"/>
              </w:rPr>
            </w:pPr>
            <w:r w:rsidRPr="00771904">
              <w:rPr>
                <w:rFonts w:ascii="Arial" w:eastAsia="Calibri" w:hAnsi="Arial" w:cs="Arial"/>
                <w:color w:val="000000"/>
                <w:sz w:val="22"/>
                <w:szCs w:val="22"/>
              </w:rPr>
              <w:t xml:space="preserve">Number of children exiting Part C and potentially eligible for Part B where the notification to the </w:t>
            </w:r>
            <w:r w:rsidR="0020206F" w:rsidRPr="0020206F">
              <w:rPr>
                <w:rFonts w:ascii="Arial" w:eastAsia="Calibri" w:hAnsi="Arial" w:cs="Arial"/>
                <w:b/>
                <w:color w:val="7030A0"/>
                <w:sz w:val="22"/>
                <w:szCs w:val="22"/>
              </w:rPr>
              <w:t xml:space="preserve">SEA and </w:t>
            </w:r>
            <w:r w:rsidRPr="00771904">
              <w:rPr>
                <w:rFonts w:ascii="Arial" w:eastAsia="Calibri" w:hAnsi="Arial" w:cs="Arial"/>
                <w:color w:val="000000"/>
                <w:sz w:val="22"/>
                <w:szCs w:val="22"/>
              </w:rPr>
              <w:t>LEA occurred</w:t>
            </w:r>
            <w:r w:rsidR="00F44528">
              <w:rPr>
                <w:rFonts w:ascii="Arial" w:eastAsia="Calibri" w:hAnsi="Arial" w:cs="Arial"/>
                <w:color w:val="000000"/>
                <w:sz w:val="22"/>
                <w:szCs w:val="22"/>
              </w:rPr>
              <w:t xml:space="preserve"> </w:t>
            </w:r>
            <w:r w:rsidR="008F1D7B">
              <w:rPr>
                <w:rFonts w:ascii="Arial" w:eastAsia="Calibri" w:hAnsi="Arial" w:cs="Arial"/>
                <w:b/>
                <w:color w:val="7030A0"/>
                <w:sz w:val="22"/>
              </w:rPr>
              <w:t xml:space="preserve">at least </w:t>
            </w:r>
            <w:r w:rsidR="00F44528" w:rsidRPr="00F44528">
              <w:rPr>
                <w:rFonts w:ascii="Arial" w:eastAsia="Calibri" w:hAnsi="Arial" w:cs="Arial"/>
                <w:b/>
                <w:color w:val="7030A0"/>
                <w:sz w:val="22"/>
              </w:rPr>
              <w:t>90 days before age 3</w:t>
            </w:r>
            <w:r w:rsidR="00F44528">
              <w:rPr>
                <w:rFonts w:ascii="Arial" w:eastAsia="Calibri" w:hAnsi="Arial" w:cs="Arial"/>
                <w:b/>
                <w:color w:val="7030A0"/>
                <w:sz w:val="22"/>
              </w:rPr>
              <w:t>.</w:t>
            </w:r>
          </w:p>
        </w:tc>
        <w:tc>
          <w:tcPr>
            <w:tcW w:w="900" w:type="dxa"/>
            <w:vAlign w:val="center"/>
          </w:tcPr>
          <w:p w:rsidR="000E3D8A" w:rsidRPr="00771904" w:rsidRDefault="009F203E" w:rsidP="009D75F8">
            <w:pPr>
              <w:jc w:val="center"/>
              <w:rPr>
                <w:rFonts w:cs="Arial"/>
                <w:b/>
                <w:color w:val="000000"/>
                <w:sz w:val="20"/>
                <w:szCs w:val="20"/>
              </w:rPr>
            </w:pPr>
            <w:r w:rsidRPr="00771904">
              <w:rPr>
                <w:rFonts w:cs="Arial"/>
                <w:b/>
                <w:color w:val="000000"/>
                <w:sz w:val="20"/>
                <w:szCs w:val="20"/>
              </w:rPr>
              <w:t>3139</w:t>
            </w:r>
          </w:p>
        </w:tc>
      </w:tr>
      <w:tr w:rsidR="000E3D8A" w:rsidRPr="00771904" w:rsidTr="0020206F">
        <w:tc>
          <w:tcPr>
            <w:tcW w:w="8748" w:type="dxa"/>
            <w:tcBorders>
              <w:bottom w:val="single" w:sz="4" w:space="0" w:color="auto"/>
            </w:tcBorders>
          </w:tcPr>
          <w:p w:rsidR="000E3D8A" w:rsidRPr="00771904" w:rsidRDefault="00A85892" w:rsidP="00BB59EA">
            <w:pPr>
              <w:pStyle w:val="ListParagraph"/>
              <w:numPr>
                <w:ilvl w:val="0"/>
                <w:numId w:val="11"/>
              </w:numPr>
              <w:autoSpaceDE w:val="0"/>
              <w:autoSpaceDN w:val="0"/>
              <w:adjustRightInd w:val="0"/>
              <w:rPr>
                <w:rFonts w:ascii="Arial" w:eastAsia="Calibri" w:hAnsi="Arial" w:cs="Arial"/>
                <w:color w:val="000000"/>
                <w:sz w:val="22"/>
                <w:szCs w:val="22"/>
              </w:rPr>
            </w:pPr>
            <w:r w:rsidRPr="00771904">
              <w:rPr>
                <w:rFonts w:ascii="Arial" w:eastAsia="Calibri" w:hAnsi="Arial" w:cs="Arial"/>
                <w:color w:val="000000"/>
                <w:sz w:val="22"/>
                <w:szCs w:val="22"/>
              </w:rPr>
              <w:t>Number of children exiting Part C who were potentially eligible for Part B</w:t>
            </w:r>
          </w:p>
        </w:tc>
        <w:tc>
          <w:tcPr>
            <w:tcW w:w="900" w:type="dxa"/>
            <w:tcBorders>
              <w:bottom w:val="single" w:sz="4" w:space="0" w:color="auto"/>
            </w:tcBorders>
            <w:vAlign w:val="center"/>
          </w:tcPr>
          <w:p w:rsidR="000E3D8A" w:rsidRPr="00771904" w:rsidRDefault="009F203E" w:rsidP="009D75F8">
            <w:pPr>
              <w:jc w:val="center"/>
              <w:rPr>
                <w:rFonts w:cs="Arial"/>
                <w:b/>
                <w:color w:val="000000"/>
                <w:sz w:val="20"/>
                <w:szCs w:val="20"/>
              </w:rPr>
            </w:pPr>
            <w:r w:rsidRPr="00771904">
              <w:rPr>
                <w:rFonts w:cs="Arial"/>
                <w:b/>
                <w:color w:val="000000"/>
                <w:sz w:val="20"/>
                <w:szCs w:val="20"/>
              </w:rPr>
              <w:t>3139</w:t>
            </w:r>
          </w:p>
        </w:tc>
      </w:tr>
      <w:tr w:rsidR="000E3D8A" w:rsidRPr="00771904" w:rsidTr="0020206F">
        <w:trPr>
          <w:trHeight w:val="530"/>
        </w:trPr>
        <w:tc>
          <w:tcPr>
            <w:tcW w:w="8748" w:type="dxa"/>
            <w:tcBorders>
              <w:top w:val="single" w:sz="4" w:space="0" w:color="auto"/>
              <w:left w:val="single" w:sz="4" w:space="0" w:color="auto"/>
              <w:bottom w:val="single" w:sz="4" w:space="0" w:color="auto"/>
              <w:right w:val="single" w:sz="4" w:space="0" w:color="auto"/>
            </w:tcBorders>
            <w:shd w:val="clear" w:color="auto" w:fill="auto"/>
          </w:tcPr>
          <w:p w:rsidR="000E3D8A" w:rsidRPr="00771904" w:rsidRDefault="00A85892" w:rsidP="00251E1F">
            <w:pPr>
              <w:tabs>
                <w:tab w:val="left" w:pos="360"/>
              </w:tabs>
              <w:autoSpaceDE w:val="0"/>
              <w:autoSpaceDN w:val="0"/>
              <w:adjustRightInd w:val="0"/>
              <w:ind w:left="360"/>
              <w:rPr>
                <w:rFonts w:eastAsia="Calibri" w:cs="Arial"/>
                <w:color w:val="000000"/>
                <w:szCs w:val="22"/>
              </w:rPr>
            </w:pPr>
            <w:r w:rsidRPr="00771904">
              <w:rPr>
                <w:rFonts w:cs="Arial"/>
                <w:szCs w:val="22"/>
              </w:rPr>
              <w:t xml:space="preserve">The percentage of toddlers with disabilities exiting Part C with timely transition planning for whom the Lead Agency has notified (consistent with any opt-out policy adopted by </w:t>
            </w:r>
            <w:r w:rsidR="00192829" w:rsidRPr="00771904">
              <w:rPr>
                <w:rFonts w:cs="Arial"/>
                <w:szCs w:val="22"/>
              </w:rPr>
              <w:t>the state</w:t>
            </w:r>
            <w:r w:rsidRPr="00771904">
              <w:rPr>
                <w:rFonts w:cs="Arial"/>
                <w:szCs w:val="22"/>
              </w:rPr>
              <w:t xml:space="preserve">) the SEA and the LEA where the toddler resides at least 90 days prior to the toddler’s third birthday for potentially eligible Part B preschool services.  </w:t>
            </w:r>
            <w:r w:rsidRPr="00771904">
              <w:rPr>
                <w:rFonts w:eastAsia="Calibri" w:cs="Arial"/>
                <w:color w:val="000000"/>
                <w:szCs w:val="22"/>
              </w:rPr>
              <w:t>(Transition Notification) (Percent = [(a) divided by (b)] times 100)</w:t>
            </w: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0E3D8A" w:rsidRPr="00771904" w:rsidRDefault="000E3D8A" w:rsidP="00251E1F">
            <w:pPr>
              <w:jc w:val="center"/>
              <w:rPr>
                <w:rFonts w:cs="Arial"/>
                <w:b/>
                <w:color w:val="000000"/>
                <w:sz w:val="20"/>
                <w:szCs w:val="20"/>
              </w:rPr>
            </w:pPr>
            <w:r w:rsidRPr="00771904">
              <w:rPr>
                <w:rFonts w:cs="Arial"/>
                <w:b/>
                <w:color w:val="000000"/>
                <w:sz w:val="20"/>
                <w:szCs w:val="20"/>
              </w:rPr>
              <w:fldChar w:fldCharType="begin"/>
            </w:r>
            <w:r w:rsidRPr="00771904">
              <w:rPr>
                <w:rFonts w:cs="Arial"/>
                <w:b/>
                <w:color w:val="000000"/>
                <w:sz w:val="20"/>
                <w:szCs w:val="20"/>
              </w:rPr>
              <w:instrText xml:space="preserve"> =(B1/B2)*100 \# "0%" </w:instrText>
            </w:r>
            <w:r w:rsidRPr="00771904">
              <w:rPr>
                <w:rFonts w:cs="Arial"/>
                <w:b/>
                <w:color w:val="000000"/>
                <w:sz w:val="20"/>
                <w:szCs w:val="20"/>
              </w:rPr>
              <w:fldChar w:fldCharType="separate"/>
            </w:r>
            <w:r w:rsidR="009D75F8" w:rsidRPr="00771904">
              <w:rPr>
                <w:rFonts w:cs="Arial"/>
                <w:b/>
                <w:noProof/>
                <w:color w:val="000000"/>
                <w:sz w:val="20"/>
                <w:szCs w:val="20"/>
              </w:rPr>
              <w:t>100%</w:t>
            </w:r>
            <w:r w:rsidRPr="00771904">
              <w:rPr>
                <w:rFonts w:cs="Arial"/>
                <w:b/>
                <w:color w:val="000000"/>
                <w:sz w:val="20"/>
                <w:szCs w:val="20"/>
              </w:rPr>
              <w:fldChar w:fldCharType="end"/>
            </w:r>
          </w:p>
        </w:tc>
      </w:tr>
    </w:tbl>
    <w:p w:rsidR="00771904" w:rsidRPr="0020206F" w:rsidRDefault="00771904" w:rsidP="00771904">
      <w:pPr>
        <w:rPr>
          <w:rFonts w:cs="Arial"/>
          <w:b/>
          <w:sz w:val="10"/>
          <w:szCs w:val="10"/>
        </w:rPr>
      </w:pPr>
    </w:p>
    <w:p w:rsidR="000E3D8A" w:rsidRPr="00771904" w:rsidRDefault="000E3D8A" w:rsidP="00906293">
      <w:pPr>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in </w:t>
      </w:r>
      <w:r w:rsidR="001F2FCB" w:rsidRPr="00771904">
        <w:rPr>
          <w:rFonts w:cs="Arial"/>
          <w:b/>
          <w:szCs w:val="22"/>
        </w:rPr>
        <w:t>FFY 201</w:t>
      </w:r>
      <w:r w:rsidR="00354E9E" w:rsidRPr="00771904">
        <w:rPr>
          <w:rFonts w:cs="Arial"/>
          <w:b/>
          <w:szCs w:val="22"/>
        </w:rPr>
        <w:t>2</w:t>
      </w:r>
      <w:r w:rsidRPr="00771904">
        <w:rPr>
          <w:rFonts w:cs="Arial"/>
          <w:b/>
          <w:szCs w:val="22"/>
        </w:rPr>
        <w:t>:</w:t>
      </w:r>
    </w:p>
    <w:p w:rsidR="0020206F" w:rsidRPr="008F1D7B" w:rsidRDefault="0020206F" w:rsidP="0020206F">
      <w:pPr>
        <w:rPr>
          <w:rFonts w:cs="Arial"/>
          <w:b/>
          <w:sz w:val="10"/>
          <w:szCs w:val="10"/>
        </w:rPr>
      </w:pPr>
    </w:p>
    <w:p w:rsidR="00F70350" w:rsidRPr="00771904" w:rsidRDefault="00E41140" w:rsidP="00906293">
      <w:pPr>
        <w:rPr>
          <w:rFonts w:cs="Arial"/>
          <w:szCs w:val="22"/>
        </w:rPr>
      </w:pPr>
      <w:r w:rsidRPr="00771904">
        <w:rPr>
          <w:rFonts w:cs="Arial"/>
          <w:szCs w:val="22"/>
        </w:rPr>
        <w:t xml:space="preserve">Pursuant to OSEP Memo </w:t>
      </w:r>
      <w:r w:rsidR="00602EE8" w:rsidRPr="00771904">
        <w:rPr>
          <w:rFonts w:cs="Arial"/>
          <w:szCs w:val="22"/>
        </w:rPr>
        <w:t>14-3</w:t>
      </w:r>
      <w:r w:rsidRPr="00771904">
        <w:rPr>
          <w:rFonts w:cs="Arial"/>
          <w:szCs w:val="22"/>
        </w:rPr>
        <w:t xml:space="preserve">, Connecticut is not required to report on progress/slippage or improvement activities for this Indicator because </w:t>
      </w:r>
      <w:r w:rsidR="00192829" w:rsidRPr="00771904">
        <w:rPr>
          <w:rFonts w:cs="Arial"/>
          <w:szCs w:val="22"/>
        </w:rPr>
        <w:t>the State</w:t>
      </w:r>
      <w:r w:rsidRPr="00771904">
        <w:rPr>
          <w:rFonts w:cs="Arial"/>
          <w:szCs w:val="22"/>
        </w:rPr>
        <w:t xml:space="preserve"> has met its target.</w:t>
      </w:r>
    </w:p>
    <w:p w:rsidR="0020206F" w:rsidRPr="0020206F" w:rsidRDefault="0020206F" w:rsidP="0020206F">
      <w:pPr>
        <w:rPr>
          <w:rFonts w:cs="Arial"/>
          <w:b/>
          <w:szCs w:val="22"/>
        </w:rPr>
      </w:pPr>
    </w:p>
    <w:p w:rsidR="000E3D8A" w:rsidRPr="00771904" w:rsidRDefault="000E3D8A" w:rsidP="00764BF9">
      <w:pPr>
        <w:rPr>
          <w:rFonts w:cs="Arial"/>
          <w:b/>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C02A8F" w:rsidRPr="00771904">
        <w:rPr>
          <w:rFonts w:cs="Arial"/>
          <w:b/>
          <w:szCs w:val="22"/>
        </w:rPr>
        <w:t xml:space="preserve">FFY12 </w:t>
      </w:r>
      <w:r w:rsidR="00205C4E" w:rsidRPr="00771904">
        <w:rPr>
          <w:rFonts w:cs="Arial"/>
          <w:i/>
          <w:szCs w:val="22"/>
        </w:rPr>
        <w:t>[if applicable]</w:t>
      </w:r>
      <w:r w:rsidRPr="00771904">
        <w:rPr>
          <w:rFonts w:cs="Arial"/>
          <w:b/>
          <w:szCs w:val="22"/>
        </w:rPr>
        <w:t>:</w:t>
      </w:r>
    </w:p>
    <w:p w:rsidR="0020206F" w:rsidRPr="008F1D7B" w:rsidRDefault="0020206F" w:rsidP="0020206F">
      <w:pPr>
        <w:rPr>
          <w:rFonts w:cs="Arial"/>
          <w:b/>
          <w:sz w:val="10"/>
          <w:szCs w:val="10"/>
        </w:rPr>
      </w:pPr>
    </w:p>
    <w:p w:rsidR="00B87D81" w:rsidRPr="00771904" w:rsidRDefault="002347E3" w:rsidP="00544CEF">
      <w:pPr>
        <w:pStyle w:val="Header"/>
        <w:tabs>
          <w:tab w:val="clear" w:pos="4320"/>
          <w:tab w:val="clear" w:pos="8640"/>
          <w:tab w:val="right" w:pos="8280"/>
        </w:tabs>
        <w:rPr>
          <w:rFonts w:cs="Arial"/>
          <w:szCs w:val="22"/>
        </w:rPr>
      </w:pPr>
      <w:r w:rsidRPr="00771904">
        <w:rPr>
          <w:rFonts w:cs="Arial"/>
          <w:szCs w:val="22"/>
        </w:rPr>
        <w:t>No revisions at this time</w:t>
      </w:r>
      <w:r w:rsidR="00B87D81" w:rsidRPr="00771904">
        <w:rPr>
          <w:rFonts w:cs="Arial"/>
        </w:rPr>
        <w:br w:type="page"/>
      </w:r>
      <w:r w:rsidR="00B87D81" w:rsidRPr="00771904">
        <w:rPr>
          <w:rFonts w:cs="Arial"/>
          <w:b/>
          <w:szCs w:val="22"/>
        </w:rPr>
        <w:lastRenderedPageBreak/>
        <w:t xml:space="preserve">Part C State Annual Performance Report (APR) for Federal Fiscal Year </w:t>
      </w:r>
      <w:r w:rsidR="00976EA6" w:rsidRPr="00771904">
        <w:rPr>
          <w:rFonts w:cs="Arial"/>
          <w:b/>
          <w:szCs w:val="22"/>
        </w:rPr>
        <w:t>(FFY) 201</w:t>
      </w:r>
      <w:r w:rsidR="00205C4E" w:rsidRPr="00771904">
        <w:rPr>
          <w:rFonts w:cs="Arial"/>
          <w:b/>
          <w:szCs w:val="22"/>
        </w:rPr>
        <w:t>2</w:t>
      </w:r>
    </w:p>
    <w:p w:rsidR="00205C4E" w:rsidRPr="00771904" w:rsidRDefault="00205C4E" w:rsidP="00544CEF">
      <w:pPr>
        <w:rPr>
          <w:rFonts w:cs="Arial"/>
          <w:b/>
          <w:iCs/>
          <w:szCs w:val="22"/>
        </w:rPr>
      </w:pPr>
    </w:p>
    <w:p w:rsidR="00B87D81" w:rsidRPr="00771904" w:rsidRDefault="00B87D81" w:rsidP="00544CEF">
      <w:pPr>
        <w:rPr>
          <w:rFonts w:cs="Arial"/>
          <w:b/>
          <w:iCs/>
          <w:szCs w:val="22"/>
        </w:rPr>
      </w:pPr>
      <w:r w:rsidRPr="00771904">
        <w:rPr>
          <w:rFonts w:cs="Arial"/>
          <w:b/>
          <w:iCs/>
          <w:szCs w:val="22"/>
        </w:rPr>
        <w:t>Overview of the Annual Performance Report Development:</w:t>
      </w:r>
    </w:p>
    <w:p w:rsidR="00B87D81" w:rsidRPr="00771904" w:rsidRDefault="00B87D81" w:rsidP="00EC6D6E">
      <w:pPr>
        <w:rPr>
          <w:rFonts w:cs="Arial"/>
          <w:iCs/>
          <w:szCs w:val="22"/>
        </w:rPr>
      </w:pPr>
      <w:r w:rsidRPr="00771904">
        <w:rPr>
          <w:rFonts w:cs="Arial"/>
          <w:iCs/>
          <w:szCs w:val="22"/>
        </w:rPr>
        <w:t>Same as described under Indicator #1</w:t>
      </w:r>
    </w:p>
    <w:p w:rsidR="00B87D81" w:rsidRPr="00771904" w:rsidRDefault="00B87D81" w:rsidP="004B3507">
      <w:pPr>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87D81" w:rsidRPr="00771904" w:rsidTr="00E4679D">
        <w:trPr>
          <w:trHeight w:val="512"/>
        </w:trPr>
        <w:tc>
          <w:tcPr>
            <w:tcW w:w="9576" w:type="dxa"/>
            <w:vAlign w:val="center"/>
          </w:tcPr>
          <w:p w:rsidR="00B87D81" w:rsidRPr="00771904" w:rsidRDefault="00B87D81" w:rsidP="009526D1">
            <w:pPr>
              <w:ind w:left="1980" w:hanging="1980"/>
              <w:rPr>
                <w:rFonts w:cs="Arial"/>
                <w:b/>
                <w:szCs w:val="22"/>
              </w:rPr>
            </w:pPr>
            <w:r w:rsidRPr="00771904">
              <w:rPr>
                <w:rFonts w:cs="Arial"/>
                <w:b/>
                <w:szCs w:val="22"/>
              </w:rPr>
              <w:t>Monitoring Priority: Effective General Supervision Part C / Effective Transition</w:t>
            </w:r>
          </w:p>
        </w:tc>
      </w:tr>
      <w:tr w:rsidR="009526D1" w:rsidRPr="00771904" w:rsidTr="00E4679D">
        <w:trPr>
          <w:trHeight w:val="1430"/>
        </w:trPr>
        <w:tc>
          <w:tcPr>
            <w:tcW w:w="9576" w:type="dxa"/>
            <w:vAlign w:val="center"/>
          </w:tcPr>
          <w:p w:rsidR="007E0F5A" w:rsidRPr="00771904" w:rsidRDefault="009526D1" w:rsidP="007E0F5A">
            <w:pPr>
              <w:pStyle w:val="Header"/>
              <w:tabs>
                <w:tab w:val="left" w:pos="692"/>
              </w:tabs>
              <w:ind w:left="332" w:hanging="332"/>
              <w:rPr>
                <w:rFonts w:cs="Arial"/>
                <w:szCs w:val="22"/>
              </w:rPr>
            </w:pPr>
            <w:r w:rsidRPr="00771904">
              <w:rPr>
                <w:rFonts w:cs="Arial"/>
                <w:b/>
                <w:szCs w:val="22"/>
              </w:rPr>
              <w:t>Indicator 8C:</w:t>
            </w:r>
            <w:r w:rsidRPr="00771904">
              <w:rPr>
                <w:rFonts w:cs="Arial"/>
                <w:szCs w:val="22"/>
              </w:rPr>
              <w:t xml:space="preserve">  </w:t>
            </w:r>
            <w:r w:rsidR="007E0F5A" w:rsidRPr="00771904">
              <w:rPr>
                <w:rFonts w:cs="Arial"/>
                <w:szCs w:val="22"/>
              </w:rPr>
              <w:t xml:space="preserve">The percentage of toddlers with disabilities exiting Part C with timely transition planning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w:t>
            </w:r>
          </w:p>
          <w:p w:rsidR="009526D1" w:rsidRPr="00771904" w:rsidRDefault="009526D1" w:rsidP="003C1539">
            <w:pPr>
              <w:pStyle w:val="Header"/>
              <w:tabs>
                <w:tab w:val="left" w:pos="692"/>
              </w:tabs>
              <w:ind w:left="692" w:hanging="332"/>
              <w:rPr>
                <w:rFonts w:cs="Arial"/>
                <w:b/>
                <w:szCs w:val="22"/>
              </w:rPr>
            </w:pPr>
            <w:r w:rsidRPr="00771904">
              <w:rPr>
                <w:rFonts w:cs="Arial"/>
                <w:szCs w:val="22"/>
              </w:rPr>
              <w:t>(20 U.S.C. 1416(a)(3)(B) and 1442)</w:t>
            </w:r>
          </w:p>
        </w:tc>
      </w:tr>
    </w:tbl>
    <w:p w:rsidR="009526D1" w:rsidRPr="00771904" w:rsidRDefault="009526D1">
      <w:pPr>
        <w:rPr>
          <w:rFonts w:cs="Arial"/>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B87D81" w:rsidRPr="00771904" w:rsidTr="009526D1">
        <w:trPr>
          <w:trHeight w:val="962"/>
        </w:trPr>
        <w:tc>
          <w:tcPr>
            <w:tcW w:w="9558" w:type="dxa"/>
          </w:tcPr>
          <w:p w:rsidR="00B87D81" w:rsidRPr="00771904" w:rsidRDefault="00B87D81" w:rsidP="004B3507">
            <w:pPr>
              <w:pStyle w:val="Header"/>
              <w:tabs>
                <w:tab w:val="clear" w:pos="4320"/>
                <w:tab w:val="clear" w:pos="8640"/>
              </w:tabs>
              <w:ind w:left="-4"/>
              <w:rPr>
                <w:rFonts w:cs="Arial"/>
                <w:szCs w:val="22"/>
              </w:rPr>
            </w:pPr>
            <w:bookmarkStart w:id="13" w:name="Ind8c"/>
            <w:bookmarkEnd w:id="13"/>
            <w:r w:rsidRPr="00771904">
              <w:rPr>
                <w:rFonts w:cs="Arial"/>
                <w:b/>
                <w:szCs w:val="22"/>
              </w:rPr>
              <w:t>Measurement:</w:t>
            </w:r>
            <w:r w:rsidRPr="00771904">
              <w:rPr>
                <w:rFonts w:cs="Arial"/>
                <w:szCs w:val="22"/>
              </w:rPr>
              <w:t xml:space="preserve"> </w:t>
            </w:r>
          </w:p>
          <w:p w:rsidR="002C697D" w:rsidRPr="00771904" w:rsidRDefault="002C697D" w:rsidP="002C697D">
            <w:pPr>
              <w:pStyle w:val="Header"/>
              <w:spacing w:before="120" w:after="120"/>
              <w:ind w:hanging="4"/>
              <w:rPr>
                <w:rFonts w:cs="Arial"/>
                <w:sz w:val="20"/>
                <w:szCs w:val="20"/>
              </w:rPr>
            </w:pPr>
            <w:r w:rsidRPr="00771904">
              <w:rPr>
                <w:rFonts w:cs="Arial"/>
                <w:sz w:val="20"/>
                <w:szCs w:val="20"/>
              </w:rPr>
              <w:t xml:space="preserve">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 </w:t>
            </w:r>
          </w:p>
          <w:p w:rsidR="00B87D81" w:rsidRPr="00771904" w:rsidRDefault="002C697D" w:rsidP="002C697D">
            <w:pPr>
              <w:pStyle w:val="BodyText"/>
              <w:ind w:left="296" w:hanging="296"/>
              <w:rPr>
                <w:rFonts w:cs="Arial"/>
                <w:b w:val="0"/>
                <w:bCs/>
                <w:szCs w:val="22"/>
                <w:u w:val="none"/>
              </w:rPr>
            </w:pPr>
            <w:r w:rsidRPr="00771904">
              <w:rPr>
                <w:rFonts w:cs="Arial"/>
                <w:b w:val="0"/>
                <w:sz w:val="20"/>
                <w:u w:val="none"/>
              </w:rPr>
              <w:t>Account for untimely transition planning, including the reasons for delays.</w:t>
            </w:r>
          </w:p>
        </w:tc>
      </w:tr>
    </w:tbl>
    <w:p w:rsidR="00B87D81" w:rsidRPr="00771904" w:rsidRDefault="00B87D81" w:rsidP="00B87D81">
      <w:pPr>
        <w:ind w:left="360"/>
        <w:rPr>
          <w:rFonts w:cs="Arial"/>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B87D81" w:rsidRPr="00771904" w:rsidTr="00625B0E">
        <w:tc>
          <w:tcPr>
            <w:tcW w:w="1548" w:type="dxa"/>
          </w:tcPr>
          <w:p w:rsidR="00B87D81" w:rsidRPr="00771904" w:rsidRDefault="00B87D81" w:rsidP="00625B0E">
            <w:pPr>
              <w:spacing w:before="240" w:after="240"/>
              <w:jc w:val="center"/>
              <w:rPr>
                <w:rFonts w:cs="Arial"/>
                <w:b/>
                <w:szCs w:val="22"/>
                <w:shd w:val="pct20" w:color="auto" w:fill="auto"/>
              </w:rPr>
            </w:pPr>
            <w:r w:rsidRPr="00771904">
              <w:rPr>
                <w:rFonts w:cs="Arial"/>
                <w:b/>
                <w:szCs w:val="22"/>
              </w:rPr>
              <w:t>FFY</w:t>
            </w:r>
            <w:r w:rsidR="00205C4E" w:rsidRPr="00771904">
              <w:rPr>
                <w:rFonts w:cs="Arial"/>
                <w:b/>
                <w:szCs w:val="22"/>
              </w:rPr>
              <w:t>12</w:t>
            </w:r>
          </w:p>
        </w:tc>
        <w:tc>
          <w:tcPr>
            <w:tcW w:w="8100" w:type="dxa"/>
          </w:tcPr>
          <w:p w:rsidR="00B87D81" w:rsidRPr="00771904" w:rsidRDefault="00B87D81" w:rsidP="00625B0E">
            <w:pPr>
              <w:spacing w:before="240" w:after="240"/>
              <w:jc w:val="center"/>
              <w:rPr>
                <w:rFonts w:cs="Arial"/>
                <w:b/>
                <w:szCs w:val="22"/>
              </w:rPr>
            </w:pPr>
            <w:r w:rsidRPr="00771904">
              <w:rPr>
                <w:rFonts w:cs="Arial"/>
                <w:b/>
                <w:szCs w:val="22"/>
              </w:rPr>
              <w:t>Measurable and Rigorous Target</w:t>
            </w:r>
          </w:p>
        </w:tc>
      </w:tr>
      <w:tr w:rsidR="00B87D81" w:rsidRPr="00771904" w:rsidTr="00625B0E">
        <w:tc>
          <w:tcPr>
            <w:tcW w:w="1548" w:type="dxa"/>
            <w:vAlign w:val="center"/>
          </w:tcPr>
          <w:p w:rsidR="00B87D81" w:rsidRPr="00771904" w:rsidRDefault="002A6A91" w:rsidP="00625B0E">
            <w:pPr>
              <w:jc w:val="center"/>
              <w:rPr>
                <w:rFonts w:cs="Arial"/>
                <w:i/>
                <w:szCs w:val="22"/>
              </w:rPr>
            </w:pPr>
            <w:r w:rsidRPr="00771904">
              <w:rPr>
                <w:rFonts w:cs="Arial"/>
                <w:i/>
                <w:szCs w:val="22"/>
              </w:rPr>
              <w:t>7/1/12-6/30/13</w:t>
            </w:r>
          </w:p>
        </w:tc>
        <w:tc>
          <w:tcPr>
            <w:tcW w:w="8100" w:type="dxa"/>
            <w:vAlign w:val="center"/>
          </w:tcPr>
          <w:p w:rsidR="00B87D81" w:rsidRPr="00771904" w:rsidRDefault="00B87D81" w:rsidP="00625B0E">
            <w:pPr>
              <w:jc w:val="center"/>
              <w:rPr>
                <w:rFonts w:cs="Arial"/>
                <w:i/>
                <w:szCs w:val="22"/>
              </w:rPr>
            </w:pPr>
            <w:r w:rsidRPr="00771904">
              <w:rPr>
                <w:rFonts w:cs="Arial"/>
                <w:i/>
                <w:szCs w:val="22"/>
              </w:rPr>
              <w:t>100%</w:t>
            </w:r>
          </w:p>
        </w:tc>
      </w:tr>
    </w:tbl>
    <w:p w:rsidR="00B87D81" w:rsidRPr="00771904" w:rsidRDefault="00B87D81" w:rsidP="00B87D81">
      <w:pPr>
        <w:spacing w:before="120" w:after="120"/>
        <w:rPr>
          <w:rFonts w:cs="Arial"/>
          <w:b/>
          <w:color w:val="000000"/>
          <w:szCs w:val="22"/>
        </w:rPr>
      </w:pPr>
      <w:r w:rsidRPr="00771904">
        <w:rPr>
          <w:rFonts w:cs="Arial"/>
          <w:b/>
          <w:color w:val="000000"/>
          <w:szCs w:val="22"/>
        </w:rPr>
        <w:t xml:space="preserve">Actual Target Data for </w:t>
      </w:r>
      <w:r w:rsidR="00205C4E" w:rsidRPr="00771904">
        <w:rPr>
          <w:rFonts w:cs="Arial"/>
          <w:b/>
          <w:color w:val="000000"/>
          <w:szCs w:val="22"/>
        </w:rPr>
        <w:t xml:space="preserve">FFY12 </w:t>
      </w:r>
      <w:r w:rsidR="00205C4E" w:rsidRPr="00771904">
        <w:rPr>
          <w:rFonts w:cs="Arial"/>
          <w:b/>
          <w:szCs w:val="22"/>
        </w:rPr>
        <w:t>(July 1, 2012-June 30, 2013)</w:t>
      </w:r>
      <w:r w:rsidRPr="00771904">
        <w:rPr>
          <w:rFonts w:cs="Arial"/>
          <w:b/>
          <w:color w:val="000000"/>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87D81" w:rsidRPr="00771904" w:rsidTr="001560E5">
        <w:trPr>
          <w:trHeight w:val="314"/>
        </w:trPr>
        <w:tc>
          <w:tcPr>
            <w:tcW w:w="9648" w:type="dxa"/>
          </w:tcPr>
          <w:p w:rsidR="00205C4E" w:rsidRPr="00771904" w:rsidRDefault="00205C4E" w:rsidP="001560E5">
            <w:pPr>
              <w:jc w:val="center"/>
              <w:rPr>
                <w:rFonts w:cs="Arial"/>
                <w:i/>
                <w:color w:val="000000"/>
                <w:szCs w:val="22"/>
              </w:rPr>
            </w:pPr>
          </w:p>
          <w:p w:rsidR="00B87D81" w:rsidRPr="00771904" w:rsidRDefault="00534A2D" w:rsidP="001560E5">
            <w:pPr>
              <w:jc w:val="center"/>
              <w:rPr>
                <w:rFonts w:cs="Arial"/>
                <w:i/>
                <w:color w:val="000000"/>
                <w:szCs w:val="22"/>
              </w:rPr>
            </w:pPr>
            <w:r w:rsidRPr="00771904">
              <w:rPr>
                <w:rFonts w:cs="Arial"/>
                <w:i/>
                <w:color w:val="000000"/>
                <w:szCs w:val="22"/>
              </w:rPr>
              <w:t>99</w:t>
            </w:r>
            <w:r w:rsidR="00B87D81" w:rsidRPr="00771904">
              <w:rPr>
                <w:rFonts w:cs="Arial"/>
                <w:i/>
                <w:color w:val="000000"/>
                <w:szCs w:val="22"/>
              </w:rPr>
              <w:t>%</w:t>
            </w:r>
          </w:p>
          <w:p w:rsidR="000713C9" w:rsidRPr="00771904" w:rsidRDefault="00DB42E2" w:rsidP="00DB42E2">
            <w:pPr>
              <w:jc w:val="center"/>
              <w:rPr>
                <w:rFonts w:cs="Arial"/>
                <w:i/>
                <w:color w:val="000000"/>
                <w:szCs w:val="22"/>
              </w:rPr>
            </w:pPr>
            <w:r w:rsidRPr="00771904">
              <w:rPr>
                <w:rFonts w:cs="Arial"/>
                <w:i/>
                <w:color w:val="000000"/>
                <w:szCs w:val="22"/>
              </w:rPr>
              <w:t>Target not Met – neither progress nor slippage</w:t>
            </w:r>
          </w:p>
        </w:tc>
      </w:tr>
    </w:tbl>
    <w:p w:rsidR="00B87D81" w:rsidRPr="00771904" w:rsidRDefault="00B87D81" w:rsidP="00B87D81">
      <w:pPr>
        <w:autoSpaceDE w:val="0"/>
        <w:autoSpaceDN w:val="0"/>
        <w:adjustRightInd w:val="0"/>
        <w:rPr>
          <w:rFonts w:eastAsia="Calibri" w:cs="Arial"/>
          <w:bCs/>
          <w:color w:val="000000"/>
          <w:szCs w:val="22"/>
        </w:rPr>
      </w:pPr>
      <w:r w:rsidRPr="00771904">
        <w:rPr>
          <w:rFonts w:eastAsia="Calibri" w:cs="Arial"/>
          <w:bCs/>
          <w:color w:val="000000"/>
          <w:szCs w:val="22"/>
        </w:rPr>
        <w:t>Using its statewide database the lead agency reviewed transition conference data for all children who were potentially eligible for preschool special education and for whom a transition conference</w:t>
      </w:r>
      <w:r w:rsidR="003436C1" w:rsidRPr="00771904">
        <w:rPr>
          <w:rFonts w:eastAsia="Calibri" w:cs="Arial"/>
          <w:bCs/>
          <w:color w:val="000000"/>
          <w:szCs w:val="22"/>
        </w:rPr>
        <w:t xml:space="preserve"> was due to occur </w:t>
      </w:r>
      <w:r w:rsidR="00704A67" w:rsidRPr="00771904">
        <w:rPr>
          <w:rFonts w:eastAsia="Calibri" w:cs="Arial"/>
          <w:bCs/>
          <w:color w:val="000000"/>
          <w:szCs w:val="22"/>
        </w:rPr>
        <w:t>between 7/1/1</w:t>
      </w:r>
      <w:r w:rsidR="00354E9E" w:rsidRPr="00771904">
        <w:rPr>
          <w:rFonts w:eastAsia="Calibri" w:cs="Arial"/>
          <w:bCs/>
          <w:color w:val="000000"/>
          <w:szCs w:val="22"/>
        </w:rPr>
        <w:t>2 and 6/30/13</w:t>
      </w:r>
      <w:r w:rsidRPr="00771904">
        <w:rPr>
          <w:rFonts w:eastAsia="Calibri" w:cs="Arial"/>
          <w:bCs/>
          <w:color w:val="000000"/>
          <w:szCs w:val="22"/>
        </w:rPr>
        <w:t xml:space="preserve">.  </w:t>
      </w:r>
    </w:p>
    <w:p w:rsidR="00B87D81" w:rsidRPr="00771904" w:rsidRDefault="00B87D81" w:rsidP="00B87D81">
      <w:pPr>
        <w:autoSpaceDE w:val="0"/>
        <w:autoSpaceDN w:val="0"/>
        <w:adjustRightInd w:val="0"/>
        <w:rPr>
          <w:rFonts w:eastAsia="Calibri" w:cs="Arial"/>
          <w:bCs/>
          <w:i/>
          <w:color w:val="000000"/>
          <w:sz w:val="10"/>
          <w:szCs w:val="10"/>
        </w:rPr>
      </w:pPr>
    </w:p>
    <w:p w:rsidR="00B87D81" w:rsidRPr="00771904" w:rsidRDefault="00B87D81" w:rsidP="002C697D">
      <w:pPr>
        <w:autoSpaceDE w:val="0"/>
        <w:autoSpaceDN w:val="0"/>
        <w:adjustRightInd w:val="0"/>
        <w:ind w:right="-180"/>
        <w:rPr>
          <w:rFonts w:eastAsia="Calibri" w:cs="Arial"/>
          <w:b/>
          <w:bCs/>
          <w:color w:val="000000"/>
          <w:szCs w:val="22"/>
        </w:rPr>
      </w:pPr>
      <w:r w:rsidRPr="00771904">
        <w:rPr>
          <w:rFonts w:eastAsia="Calibri" w:cs="Arial"/>
          <w:b/>
          <w:bCs/>
          <w:color w:val="000000"/>
          <w:szCs w:val="22"/>
        </w:rPr>
        <w:t xml:space="preserve">Children Exiting Part C who </w:t>
      </w:r>
      <w:proofErr w:type="gramStart"/>
      <w:r w:rsidRPr="00771904">
        <w:rPr>
          <w:rFonts w:eastAsia="Calibri" w:cs="Arial"/>
          <w:b/>
          <w:bCs/>
          <w:color w:val="000000"/>
          <w:szCs w:val="22"/>
        </w:rPr>
        <w:t>Received</w:t>
      </w:r>
      <w:proofErr w:type="gramEnd"/>
      <w:r w:rsidRPr="00771904">
        <w:rPr>
          <w:rFonts w:eastAsia="Calibri" w:cs="Arial"/>
          <w:b/>
          <w:bCs/>
          <w:color w:val="000000"/>
          <w:szCs w:val="22"/>
        </w:rPr>
        <w:t xml:space="preserve"> Timely Transition Planning (Transition Conference):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1350"/>
      </w:tblGrid>
      <w:tr w:rsidR="00B87D81" w:rsidRPr="00771904" w:rsidTr="00625B0E">
        <w:trPr>
          <w:trHeight w:val="350"/>
        </w:trPr>
        <w:tc>
          <w:tcPr>
            <w:tcW w:w="8298" w:type="dxa"/>
          </w:tcPr>
          <w:p w:rsidR="00B87D81" w:rsidRPr="00771904" w:rsidRDefault="00B87D81" w:rsidP="002C697D">
            <w:pPr>
              <w:pStyle w:val="ListParagraph"/>
              <w:numPr>
                <w:ilvl w:val="0"/>
                <w:numId w:val="10"/>
              </w:numPr>
              <w:autoSpaceDE w:val="0"/>
              <w:autoSpaceDN w:val="0"/>
              <w:adjustRightInd w:val="0"/>
              <w:rPr>
                <w:rFonts w:ascii="Arial" w:eastAsia="Calibri" w:hAnsi="Arial" w:cs="Arial"/>
                <w:color w:val="000000"/>
                <w:sz w:val="22"/>
                <w:szCs w:val="22"/>
              </w:rPr>
            </w:pPr>
            <w:r w:rsidRPr="00771904">
              <w:rPr>
                <w:rFonts w:ascii="Arial" w:eastAsia="Calibri" w:hAnsi="Arial" w:cs="Arial"/>
                <w:color w:val="000000"/>
                <w:sz w:val="22"/>
                <w:szCs w:val="22"/>
              </w:rPr>
              <w:t xml:space="preserve">Number of children exiting Part C and potentially eligible for </w:t>
            </w:r>
            <w:r w:rsidR="002C697D" w:rsidRPr="00771904">
              <w:rPr>
                <w:rFonts w:ascii="Arial" w:eastAsia="Calibri" w:hAnsi="Arial" w:cs="Arial"/>
                <w:color w:val="000000"/>
                <w:sz w:val="22"/>
                <w:szCs w:val="22"/>
              </w:rPr>
              <w:t xml:space="preserve">Part B early childhood </w:t>
            </w:r>
            <w:r w:rsidR="000C1590" w:rsidRPr="00771904">
              <w:rPr>
                <w:rFonts w:ascii="Arial" w:eastAsia="Calibri" w:hAnsi="Arial" w:cs="Arial"/>
                <w:color w:val="000000"/>
                <w:sz w:val="22"/>
                <w:szCs w:val="22"/>
              </w:rPr>
              <w:t>special education</w:t>
            </w:r>
            <w:r w:rsidRPr="00771904">
              <w:rPr>
                <w:rFonts w:ascii="Arial" w:eastAsia="Calibri" w:hAnsi="Arial" w:cs="Arial"/>
                <w:color w:val="000000"/>
                <w:sz w:val="22"/>
                <w:szCs w:val="22"/>
              </w:rPr>
              <w:t xml:space="preserve"> where the transition conference occurred at least 90 days before age 3</w:t>
            </w:r>
          </w:p>
        </w:tc>
        <w:tc>
          <w:tcPr>
            <w:tcW w:w="1350" w:type="dxa"/>
          </w:tcPr>
          <w:p w:rsidR="00B87D81" w:rsidRPr="00771904" w:rsidRDefault="00965ED8" w:rsidP="00625B0E">
            <w:pPr>
              <w:spacing w:before="240" w:after="240"/>
              <w:jc w:val="center"/>
              <w:rPr>
                <w:rFonts w:cs="Arial"/>
                <w:b/>
                <w:color w:val="000000"/>
                <w:sz w:val="20"/>
                <w:szCs w:val="20"/>
              </w:rPr>
            </w:pPr>
            <w:r w:rsidRPr="00771904">
              <w:rPr>
                <w:rFonts w:cs="Arial"/>
                <w:b/>
                <w:color w:val="000000"/>
                <w:sz w:val="20"/>
                <w:szCs w:val="20"/>
              </w:rPr>
              <w:t>2225</w:t>
            </w:r>
          </w:p>
        </w:tc>
      </w:tr>
      <w:tr w:rsidR="00B87D81" w:rsidRPr="00771904" w:rsidTr="00B61349">
        <w:tc>
          <w:tcPr>
            <w:tcW w:w="8298" w:type="dxa"/>
            <w:tcBorders>
              <w:bottom w:val="single" w:sz="4" w:space="0" w:color="auto"/>
            </w:tcBorders>
          </w:tcPr>
          <w:p w:rsidR="00B87D81" w:rsidRPr="00771904" w:rsidRDefault="00B87D81" w:rsidP="002C697D">
            <w:pPr>
              <w:pStyle w:val="ListParagraph"/>
              <w:numPr>
                <w:ilvl w:val="0"/>
                <w:numId w:val="10"/>
              </w:numPr>
              <w:autoSpaceDE w:val="0"/>
              <w:autoSpaceDN w:val="0"/>
              <w:adjustRightInd w:val="0"/>
              <w:rPr>
                <w:rFonts w:ascii="Arial" w:eastAsia="Calibri" w:hAnsi="Arial" w:cs="Arial"/>
                <w:color w:val="000000"/>
                <w:sz w:val="22"/>
                <w:szCs w:val="22"/>
              </w:rPr>
            </w:pPr>
            <w:r w:rsidRPr="00771904">
              <w:rPr>
                <w:rFonts w:ascii="Arial" w:eastAsia="Calibri" w:hAnsi="Arial" w:cs="Arial"/>
                <w:color w:val="000000"/>
                <w:sz w:val="22"/>
                <w:szCs w:val="22"/>
              </w:rPr>
              <w:t xml:space="preserve">Number of children exiting Part C and potentially eligible for </w:t>
            </w:r>
            <w:r w:rsidR="002C697D" w:rsidRPr="00771904">
              <w:rPr>
                <w:rFonts w:ascii="Arial" w:eastAsia="Calibri" w:hAnsi="Arial" w:cs="Arial"/>
                <w:color w:val="000000"/>
                <w:sz w:val="22"/>
                <w:szCs w:val="22"/>
              </w:rPr>
              <w:t xml:space="preserve">Part B early childhood </w:t>
            </w:r>
            <w:r w:rsidR="000C1590" w:rsidRPr="00771904">
              <w:rPr>
                <w:rFonts w:ascii="Arial" w:eastAsia="Calibri" w:hAnsi="Arial" w:cs="Arial"/>
                <w:color w:val="000000"/>
                <w:sz w:val="22"/>
                <w:szCs w:val="22"/>
              </w:rPr>
              <w:t xml:space="preserve">special education </w:t>
            </w:r>
            <w:r w:rsidRPr="00771904">
              <w:rPr>
                <w:rFonts w:ascii="Arial" w:eastAsia="Calibri" w:hAnsi="Arial" w:cs="Arial"/>
                <w:color w:val="000000"/>
                <w:sz w:val="22"/>
                <w:szCs w:val="22"/>
              </w:rPr>
              <w:t xml:space="preserve">where the transition conference was delayed due to documented extraordinary family circumstances.  (Range </w:t>
            </w:r>
            <w:r w:rsidR="003223D6" w:rsidRPr="00771904">
              <w:rPr>
                <w:rFonts w:ascii="Arial" w:eastAsia="Calibri" w:hAnsi="Arial" w:cs="Arial"/>
                <w:color w:val="000000"/>
                <w:sz w:val="22"/>
                <w:szCs w:val="22"/>
              </w:rPr>
              <w:t>89-</w:t>
            </w:r>
            <w:r w:rsidR="00534A2D" w:rsidRPr="00771904">
              <w:rPr>
                <w:rFonts w:ascii="Arial" w:eastAsia="Calibri" w:hAnsi="Arial" w:cs="Arial"/>
                <w:color w:val="000000"/>
                <w:sz w:val="22"/>
                <w:szCs w:val="22"/>
              </w:rPr>
              <w:t>3 days</w:t>
            </w:r>
            <w:r w:rsidRPr="00771904">
              <w:rPr>
                <w:rFonts w:ascii="Arial" w:eastAsia="Calibri" w:hAnsi="Arial" w:cs="Arial"/>
                <w:color w:val="000000"/>
                <w:sz w:val="22"/>
                <w:szCs w:val="22"/>
              </w:rPr>
              <w:t>)</w:t>
            </w:r>
          </w:p>
        </w:tc>
        <w:tc>
          <w:tcPr>
            <w:tcW w:w="1350" w:type="dxa"/>
            <w:tcBorders>
              <w:bottom w:val="single" w:sz="4" w:space="0" w:color="auto"/>
            </w:tcBorders>
            <w:vAlign w:val="center"/>
          </w:tcPr>
          <w:p w:rsidR="00B87D81" w:rsidRPr="00771904" w:rsidRDefault="00965ED8" w:rsidP="00B61349">
            <w:pPr>
              <w:jc w:val="center"/>
              <w:rPr>
                <w:rFonts w:cs="Arial"/>
                <w:b/>
                <w:color w:val="000000"/>
                <w:sz w:val="20"/>
                <w:szCs w:val="20"/>
              </w:rPr>
            </w:pPr>
            <w:r w:rsidRPr="00771904">
              <w:rPr>
                <w:rFonts w:cs="Arial"/>
                <w:b/>
                <w:color w:val="000000"/>
                <w:sz w:val="20"/>
                <w:szCs w:val="20"/>
              </w:rPr>
              <w:t>299</w:t>
            </w:r>
          </w:p>
        </w:tc>
      </w:tr>
      <w:tr w:rsidR="00B87D81" w:rsidRPr="00771904" w:rsidTr="007E0F5A">
        <w:tc>
          <w:tcPr>
            <w:tcW w:w="8298" w:type="dxa"/>
            <w:tcBorders>
              <w:bottom w:val="single" w:sz="4" w:space="0" w:color="auto"/>
            </w:tcBorders>
          </w:tcPr>
          <w:p w:rsidR="00B87D81" w:rsidRPr="00771904" w:rsidRDefault="00B87D81" w:rsidP="00D60B2A">
            <w:pPr>
              <w:pStyle w:val="ListParagraph"/>
              <w:numPr>
                <w:ilvl w:val="0"/>
                <w:numId w:val="10"/>
              </w:numPr>
              <w:autoSpaceDE w:val="0"/>
              <w:autoSpaceDN w:val="0"/>
              <w:adjustRightInd w:val="0"/>
              <w:rPr>
                <w:rFonts w:ascii="Arial" w:eastAsia="Calibri" w:hAnsi="Arial" w:cs="Arial"/>
                <w:color w:val="000000"/>
                <w:sz w:val="22"/>
                <w:szCs w:val="22"/>
              </w:rPr>
            </w:pPr>
            <w:r w:rsidRPr="00771904">
              <w:rPr>
                <w:rFonts w:ascii="Arial" w:eastAsia="Calibri" w:hAnsi="Arial" w:cs="Arial"/>
                <w:color w:val="000000"/>
                <w:sz w:val="22"/>
                <w:szCs w:val="22"/>
              </w:rPr>
              <w:t xml:space="preserve">Number of children exiting Part C who were potentially eligible for Part B </w:t>
            </w:r>
            <w:r w:rsidR="002C697D" w:rsidRPr="00771904">
              <w:rPr>
                <w:rFonts w:ascii="Arial" w:eastAsia="Calibri" w:hAnsi="Arial" w:cs="Arial"/>
                <w:color w:val="000000"/>
                <w:sz w:val="22"/>
                <w:szCs w:val="22"/>
              </w:rPr>
              <w:t xml:space="preserve">early childhood special education </w:t>
            </w:r>
            <w:r w:rsidRPr="00771904">
              <w:rPr>
                <w:rFonts w:ascii="Arial" w:eastAsia="Calibri" w:hAnsi="Arial" w:cs="Arial"/>
                <w:color w:val="000000"/>
                <w:sz w:val="22"/>
                <w:szCs w:val="22"/>
              </w:rPr>
              <w:t>and for whom a transition conference was due to occur.</w:t>
            </w:r>
          </w:p>
        </w:tc>
        <w:tc>
          <w:tcPr>
            <w:tcW w:w="1350" w:type="dxa"/>
            <w:tcBorders>
              <w:bottom w:val="single" w:sz="4" w:space="0" w:color="auto"/>
            </w:tcBorders>
            <w:vAlign w:val="center"/>
          </w:tcPr>
          <w:p w:rsidR="00B87D81" w:rsidRPr="00771904" w:rsidRDefault="00965ED8" w:rsidP="007E0F5A">
            <w:pPr>
              <w:jc w:val="center"/>
              <w:rPr>
                <w:rFonts w:cs="Arial"/>
                <w:b/>
                <w:color w:val="000000"/>
                <w:sz w:val="20"/>
                <w:szCs w:val="20"/>
              </w:rPr>
            </w:pPr>
            <w:r w:rsidRPr="00771904">
              <w:rPr>
                <w:rFonts w:cs="Arial"/>
                <w:b/>
                <w:color w:val="000000"/>
                <w:sz w:val="20"/>
                <w:szCs w:val="20"/>
              </w:rPr>
              <w:t>2544</w:t>
            </w:r>
          </w:p>
        </w:tc>
      </w:tr>
      <w:tr w:rsidR="00B87D81" w:rsidRPr="00771904" w:rsidTr="00625B0E">
        <w:trPr>
          <w:trHeight w:val="530"/>
        </w:trPr>
        <w:tc>
          <w:tcPr>
            <w:tcW w:w="8298" w:type="dxa"/>
            <w:tcBorders>
              <w:top w:val="single" w:sz="4" w:space="0" w:color="auto"/>
              <w:left w:val="single" w:sz="4" w:space="0" w:color="auto"/>
              <w:bottom w:val="single" w:sz="4" w:space="0" w:color="auto"/>
              <w:right w:val="single" w:sz="4" w:space="0" w:color="auto"/>
            </w:tcBorders>
            <w:shd w:val="clear" w:color="auto" w:fill="auto"/>
          </w:tcPr>
          <w:p w:rsidR="00B87D81" w:rsidRPr="00771904" w:rsidRDefault="002C697D" w:rsidP="00884C95">
            <w:pPr>
              <w:tabs>
                <w:tab w:val="left" w:pos="360"/>
              </w:tabs>
              <w:autoSpaceDE w:val="0"/>
              <w:autoSpaceDN w:val="0"/>
              <w:adjustRightInd w:val="0"/>
              <w:rPr>
                <w:rFonts w:eastAsia="Calibri" w:cs="Arial"/>
                <w:color w:val="000000"/>
                <w:szCs w:val="22"/>
              </w:rPr>
            </w:pPr>
            <w:r w:rsidRPr="00771904">
              <w:rPr>
                <w:rFonts w:cs="Arial"/>
                <w:sz w:val="20"/>
                <w:szCs w:val="20"/>
              </w:rPr>
              <w:t>The percentage of toddlers with disabilities exiting Part C with timely transition planning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services(Transition Conference) (Percent = [(</w:t>
            </w:r>
            <w:proofErr w:type="spellStart"/>
            <w:r w:rsidRPr="00771904">
              <w:rPr>
                <w:rFonts w:cs="Arial"/>
                <w:sz w:val="20"/>
                <w:szCs w:val="20"/>
              </w:rPr>
              <w:t>a</w:t>
            </w:r>
            <w:r w:rsidR="00884C95" w:rsidRPr="00771904">
              <w:rPr>
                <w:rFonts w:cs="Arial"/>
                <w:sz w:val="20"/>
                <w:szCs w:val="20"/>
              </w:rPr>
              <w:t>+b</w:t>
            </w:r>
            <w:proofErr w:type="spellEnd"/>
            <w:r w:rsidR="00884C95" w:rsidRPr="00771904">
              <w:rPr>
                <w:rFonts w:cs="Arial"/>
                <w:sz w:val="20"/>
                <w:szCs w:val="20"/>
              </w:rPr>
              <w:t>) divided by (c</w:t>
            </w:r>
            <w:r w:rsidRPr="00771904">
              <w:rPr>
                <w:rFonts w:cs="Arial"/>
                <w:sz w:val="20"/>
                <w:szCs w:val="20"/>
              </w:rPr>
              <w:t>)] times 100)</w:t>
            </w:r>
          </w:p>
        </w:tc>
        <w:tc>
          <w:tcPr>
            <w:tcW w:w="1350" w:type="dxa"/>
            <w:tcBorders>
              <w:top w:val="single" w:sz="4" w:space="0" w:color="auto"/>
              <w:left w:val="single" w:sz="4" w:space="0" w:color="auto"/>
              <w:bottom w:val="single" w:sz="4" w:space="0" w:color="auto"/>
              <w:right w:val="single" w:sz="4" w:space="0" w:color="auto"/>
            </w:tcBorders>
            <w:shd w:val="clear" w:color="auto" w:fill="A6A6A6"/>
            <w:vAlign w:val="center"/>
          </w:tcPr>
          <w:p w:rsidR="00B87D81" w:rsidRPr="00771904" w:rsidRDefault="00534A2D" w:rsidP="00625B0E">
            <w:pPr>
              <w:jc w:val="center"/>
              <w:rPr>
                <w:rFonts w:cs="Arial"/>
                <w:b/>
                <w:color w:val="000000"/>
                <w:sz w:val="20"/>
                <w:szCs w:val="20"/>
              </w:rPr>
            </w:pPr>
            <w:r w:rsidRPr="00771904">
              <w:rPr>
                <w:rFonts w:cs="Arial"/>
                <w:b/>
                <w:color w:val="000000"/>
                <w:sz w:val="20"/>
                <w:szCs w:val="20"/>
              </w:rPr>
              <w:t>99%</w:t>
            </w:r>
          </w:p>
        </w:tc>
      </w:tr>
    </w:tbl>
    <w:p w:rsidR="004B3507" w:rsidRPr="00771904" w:rsidRDefault="004B3507" w:rsidP="002A5C40">
      <w:pPr>
        <w:ind w:right="-180"/>
        <w:rPr>
          <w:rFonts w:cs="Arial"/>
          <w:szCs w:val="22"/>
        </w:rPr>
      </w:pPr>
    </w:p>
    <w:p w:rsidR="005D1109" w:rsidRPr="00771904" w:rsidRDefault="00B87D81" w:rsidP="002A5C40">
      <w:pPr>
        <w:ind w:right="-180"/>
        <w:rPr>
          <w:rFonts w:cs="Arial"/>
          <w:szCs w:val="22"/>
        </w:rPr>
      </w:pPr>
      <w:r w:rsidRPr="00771904">
        <w:rPr>
          <w:rFonts w:cs="Arial"/>
          <w:szCs w:val="22"/>
        </w:rPr>
        <w:lastRenderedPageBreak/>
        <w:t xml:space="preserve">Connecticut has </w:t>
      </w:r>
      <w:r w:rsidR="0020384A" w:rsidRPr="00771904">
        <w:rPr>
          <w:rFonts w:cs="Arial"/>
          <w:szCs w:val="22"/>
        </w:rPr>
        <w:t>4616</w:t>
      </w:r>
      <w:r w:rsidRPr="00771904">
        <w:rPr>
          <w:rFonts w:cs="Arial"/>
          <w:szCs w:val="22"/>
        </w:rPr>
        <w:t xml:space="preserve"> children in the Birth to Three </w:t>
      </w:r>
      <w:proofErr w:type="gramStart"/>
      <w:r w:rsidRPr="00771904">
        <w:rPr>
          <w:rFonts w:cs="Arial"/>
          <w:szCs w:val="22"/>
        </w:rPr>
        <w:t>database</w:t>
      </w:r>
      <w:proofErr w:type="gramEnd"/>
      <w:r w:rsidRPr="00771904">
        <w:rPr>
          <w:rFonts w:cs="Arial"/>
          <w:szCs w:val="22"/>
        </w:rPr>
        <w:t xml:space="preserve"> with a date of birth that would have them turn age three </w:t>
      </w:r>
      <w:r w:rsidR="00704A67" w:rsidRPr="00771904">
        <w:rPr>
          <w:rFonts w:eastAsia="Calibri" w:cs="Arial"/>
          <w:bCs/>
          <w:szCs w:val="22"/>
        </w:rPr>
        <w:t>between 7/1/1</w:t>
      </w:r>
      <w:r w:rsidR="00DE6D00" w:rsidRPr="00771904">
        <w:rPr>
          <w:rFonts w:eastAsia="Calibri" w:cs="Arial"/>
          <w:bCs/>
          <w:szCs w:val="22"/>
        </w:rPr>
        <w:t>2 and 6/30/13</w:t>
      </w:r>
      <w:r w:rsidRPr="00771904">
        <w:rPr>
          <w:rFonts w:cs="Arial"/>
          <w:szCs w:val="22"/>
        </w:rPr>
        <w:t xml:space="preserve">.  </w:t>
      </w:r>
    </w:p>
    <w:p w:rsidR="00965ED8" w:rsidRPr="00771904" w:rsidRDefault="00965ED8" w:rsidP="002A5C40">
      <w:pPr>
        <w:ind w:right="-180"/>
        <w:rPr>
          <w:rFonts w:cs="Arial"/>
          <w:szCs w:val="22"/>
        </w:rPr>
      </w:pPr>
    </w:p>
    <w:p w:rsidR="005D1109" w:rsidRPr="00771904" w:rsidRDefault="003223D6" w:rsidP="00BB59EA">
      <w:pPr>
        <w:numPr>
          <w:ilvl w:val="0"/>
          <w:numId w:val="25"/>
        </w:numPr>
        <w:ind w:right="-180"/>
        <w:rPr>
          <w:rFonts w:cs="Arial"/>
          <w:szCs w:val="22"/>
        </w:rPr>
      </w:pPr>
      <w:r w:rsidRPr="00771904">
        <w:rPr>
          <w:rFonts w:cs="Arial"/>
          <w:szCs w:val="22"/>
        </w:rPr>
        <w:t>32</w:t>
      </w:r>
      <w:r w:rsidR="00706701" w:rsidRPr="00771904">
        <w:rPr>
          <w:rFonts w:cs="Arial"/>
          <w:szCs w:val="22"/>
        </w:rPr>
        <w:t>94</w:t>
      </w:r>
      <w:r w:rsidR="00B87D81" w:rsidRPr="00771904">
        <w:rPr>
          <w:rFonts w:cs="Arial"/>
          <w:szCs w:val="22"/>
        </w:rPr>
        <w:t xml:space="preserve"> of those children exited during </w:t>
      </w:r>
      <w:r w:rsidR="002B2863" w:rsidRPr="00771904">
        <w:rPr>
          <w:rFonts w:cs="Arial"/>
          <w:szCs w:val="22"/>
        </w:rPr>
        <w:t>the reporting year</w:t>
      </w:r>
      <w:r w:rsidR="00B87D81" w:rsidRPr="00771904">
        <w:rPr>
          <w:rFonts w:cs="Arial"/>
          <w:szCs w:val="22"/>
        </w:rPr>
        <w:t xml:space="preserve"> (the others exited before </w:t>
      </w:r>
      <w:r w:rsidR="003012A8" w:rsidRPr="00771904">
        <w:rPr>
          <w:rFonts w:cs="Arial"/>
          <w:szCs w:val="22"/>
        </w:rPr>
        <w:t>7/1/12</w:t>
      </w:r>
      <w:r w:rsidR="005D1109" w:rsidRPr="00771904">
        <w:rPr>
          <w:rFonts w:cs="Arial"/>
          <w:szCs w:val="22"/>
        </w:rPr>
        <w:t>).</w:t>
      </w:r>
    </w:p>
    <w:p w:rsidR="00B87D81" w:rsidRPr="00771904" w:rsidRDefault="00332030" w:rsidP="00BB59EA">
      <w:pPr>
        <w:numPr>
          <w:ilvl w:val="0"/>
          <w:numId w:val="25"/>
        </w:numPr>
        <w:ind w:right="-180"/>
        <w:rPr>
          <w:rFonts w:cs="Arial"/>
          <w:szCs w:val="22"/>
        </w:rPr>
      </w:pPr>
      <w:r w:rsidRPr="00771904">
        <w:rPr>
          <w:rFonts w:cs="Arial"/>
          <w:szCs w:val="22"/>
        </w:rPr>
        <w:t>2887</w:t>
      </w:r>
      <w:r w:rsidR="00B87D81" w:rsidRPr="00771904">
        <w:rPr>
          <w:rFonts w:cs="Arial"/>
          <w:szCs w:val="22"/>
        </w:rPr>
        <w:t xml:space="preserve"> </w:t>
      </w:r>
      <w:r w:rsidR="005D1109" w:rsidRPr="00771904">
        <w:rPr>
          <w:rFonts w:cs="Arial"/>
          <w:szCs w:val="22"/>
        </w:rPr>
        <w:t xml:space="preserve">of those </w:t>
      </w:r>
      <w:r w:rsidR="00B87D81" w:rsidRPr="00771904">
        <w:rPr>
          <w:rFonts w:cs="Arial"/>
          <w:szCs w:val="22"/>
        </w:rPr>
        <w:t xml:space="preserve">children exited </w:t>
      </w:r>
      <w:r w:rsidR="004B3507" w:rsidRPr="00771904">
        <w:rPr>
          <w:rFonts w:cs="Arial"/>
          <w:szCs w:val="22"/>
        </w:rPr>
        <w:t xml:space="preserve">Birth to </w:t>
      </w:r>
      <w:proofErr w:type="gramStart"/>
      <w:r w:rsidR="004B3507" w:rsidRPr="00771904">
        <w:rPr>
          <w:rFonts w:cs="Arial"/>
          <w:szCs w:val="22"/>
        </w:rPr>
        <w:t>Three</w:t>
      </w:r>
      <w:proofErr w:type="gramEnd"/>
      <w:r w:rsidR="004B3507" w:rsidRPr="00771904">
        <w:rPr>
          <w:rFonts w:cs="Arial"/>
          <w:szCs w:val="22"/>
        </w:rPr>
        <w:t xml:space="preserve"> because they turned </w:t>
      </w:r>
      <w:r w:rsidR="00B87D81" w:rsidRPr="00771904">
        <w:rPr>
          <w:rFonts w:cs="Arial"/>
          <w:szCs w:val="22"/>
        </w:rPr>
        <w:t>three</w:t>
      </w:r>
      <w:r w:rsidR="004B3507" w:rsidRPr="00771904">
        <w:rPr>
          <w:rFonts w:cs="Arial"/>
          <w:szCs w:val="22"/>
        </w:rPr>
        <w:t xml:space="preserve"> years old</w:t>
      </w:r>
      <w:r w:rsidR="00B87D81" w:rsidRPr="00771904">
        <w:rPr>
          <w:rFonts w:cs="Arial"/>
          <w:szCs w:val="22"/>
        </w:rPr>
        <w:t xml:space="preserve">. </w:t>
      </w:r>
    </w:p>
    <w:p w:rsidR="005D1109" w:rsidRPr="00771904" w:rsidRDefault="005D1109" w:rsidP="00BB59EA">
      <w:pPr>
        <w:numPr>
          <w:ilvl w:val="0"/>
          <w:numId w:val="25"/>
        </w:numPr>
        <w:rPr>
          <w:rFonts w:cs="Arial"/>
        </w:rPr>
      </w:pPr>
      <w:r w:rsidRPr="00771904">
        <w:rPr>
          <w:rFonts w:cs="Arial"/>
        </w:rPr>
        <w:t>O</w:t>
      </w:r>
      <w:r w:rsidR="003223D6" w:rsidRPr="00771904">
        <w:rPr>
          <w:rFonts w:cs="Arial"/>
        </w:rPr>
        <w:t xml:space="preserve">f the </w:t>
      </w:r>
      <w:r w:rsidR="00332030" w:rsidRPr="00771904">
        <w:rPr>
          <w:rFonts w:cs="Arial"/>
        </w:rPr>
        <w:t>2887</w:t>
      </w:r>
      <w:r w:rsidR="003223D6" w:rsidRPr="00771904">
        <w:rPr>
          <w:rFonts w:cs="Arial"/>
        </w:rPr>
        <w:t xml:space="preserve"> </w:t>
      </w:r>
      <w:r w:rsidR="000C1590" w:rsidRPr="00771904">
        <w:rPr>
          <w:rFonts w:cs="Arial"/>
        </w:rPr>
        <w:t xml:space="preserve">children </w:t>
      </w:r>
      <w:r w:rsidR="00704A67" w:rsidRPr="00771904">
        <w:rPr>
          <w:rFonts w:cs="Arial"/>
        </w:rPr>
        <w:t xml:space="preserve">that exited at age three </w:t>
      </w:r>
      <w:r w:rsidR="00704A67" w:rsidRPr="00771904">
        <w:rPr>
          <w:rFonts w:eastAsia="Calibri" w:cs="Arial"/>
          <w:bCs/>
          <w:szCs w:val="22"/>
        </w:rPr>
        <w:t>between 7/1/1</w:t>
      </w:r>
      <w:r w:rsidR="003012A8" w:rsidRPr="00771904">
        <w:rPr>
          <w:rFonts w:eastAsia="Calibri" w:cs="Arial"/>
          <w:bCs/>
          <w:szCs w:val="22"/>
        </w:rPr>
        <w:t>2 and 6/30/13</w:t>
      </w:r>
      <w:r w:rsidR="00704A67" w:rsidRPr="00771904">
        <w:rPr>
          <w:rFonts w:eastAsia="Calibri" w:cs="Arial"/>
          <w:bCs/>
          <w:szCs w:val="22"/>
        </w:rPr>
        <w:t xml:space="preserve">, </w:t>
      </w:r>
      <w:r w:rsidRPr="00771904">
        <w:rPr>
          <w:rFonts w:cs="Arial"/>
        </w:rPr>
        <w:t xml:space="preserve">one </w:t>
      </w:r>
      <w:r w:rsidR="003012A8" w:rsidRPr="00771904">
        <w:rPr>
          <w:rFonts w:cs="Arial"/>
        </w:rPr>
        <w:t xml:space="preserve">was </w:t>
      </w:r>
      <w:r w:rsidR="000C1590" w:rsidRPr="00771904">
        <w:rPr>
          <w:rFonts w:cs="Arial"/>
        </w:rPr>
        <w:t xml:space="preserve">referred to Birth to </w:t>
      </w:r>
      <w:proofErr w:type="gramStart"/>
      <w:r w:rsidR="000C1590" w:rsidRPr="00771904">
        <w:rPr>
          <w:rFonts w:cs="Arial"/>
        </w:rPr>
        <w:t>Three</w:t>
      </w:r>
      <w:proofErr w:type="gramEnd"/>
      <w:r w:rsidR="000C1590" w:rsidRPr="00771904">
        <w:rPr>
          <w:rFonts w:cs="Arial"/>
        </w:rPr>
        <w:t xml:space="preserve"> fewer than</w:t>
      </w:r>
      <w:r w:rsidRPr="00771904">
        <w:rPr>
          <w:rFonts w:cs="Arial"/>
        </w:rPr>
        <w:t xml:space="preserve"> 45 days before age three.</w:t>
      </w:r>
    </w:p>
    <w:p w:rsidR="005D1109" w:rsidRPr="00771904" w:rsidRDefault="00247C6B" w:rsidP="00BB59EA">
      <w:pPr>
        <w:numPr>
          <w:ilvl w:val="0"/>
          <w:numId w:val="25"/>
        </w:numPr>
        <w:rPr>
          <w:rFonts w:cs="Arial"/>
        </w:rPr>
      </w:pPr>
      <w:r w:rsidRPr="00771904">
        <w:rPr>
          <w:rFonts w:cs="Arial"/>
        </w:rPr>
        <w:t>98</w:t>
      </w:r>
      <w:r w:rsidR="000C1590" w:rsidRPr="00771904">
        <w:rPr>
          <w:rFonts w:cs="Arial"/>
        </w:rPr>
        <w:t xml:space="preserve"> children were referred between 45 and 90 days before age three.  </w:t>
      </w:r>
    </w:p>
    <w:p w:rsidR="005D1109" w:rsidRPr="00771904" w:rsidRDefault="000C1590" w:rsidP="00BB59EA">
      <w:pPr>
        <w:numPr>
          <w:ilvl w:val="0"/>
          <w:numId w:val="25"/>
        </w:numPr>
        <w:rPr>
          <w:rFonts w:cs="Arial"/>
        </w:rPr>
      </w:pPr>
      <w:r w:rsidRPr="00771904">
        <w:rPr>
          <w:rFonts w:cs="Arial"/>
        </w:rPr>
        <w:t xml:space="preserve">The families of </w:t>
      </w:r>
      <w:r w:rsidR="009521C5" w:rsidRPr="00771904">
        <w:rPr>
          <w:rFonts w:cs="Arial"/>
        </w:rPr>
        <w:t>208</w:t>
      </w:r>
      <w:r w:rsidRPr="00771904">
        <w:rPr>
          <w:rFonts w:cs="Arial"/>
        </w:rPr>
        <w:t xml:space="preserve"> of the remaining </w:t>
      </w:r>
      <w:r w:rsidR="00706701" w:rsidRPr="00771904">
        <w:rPr>
          <w:rFonts w:cs="Arial"/>
        </w:rPr>
        <w:t>2</w:t>
      </w:r>
      <w:r w:rsidR="009521C5" w:rsidRPr="00771904">
        <w:rPr>
          <w:rFonts w:cs="Arial"/>
        </w:rPr>
        <w:t>788</w:t>
      </w:r>
      <w:r w:rsidR="00DE76A3" w:rsidRPr="00771904">
        <w:rPr>
          <w:rFonts w:cs="Arial"/>
        </w:rPr>
        <w:t xml:space="preserve"> </w:t>
      </w:r>
      <w:r w:rsidRPr="00771904">
        <w:rPr>
          <w:rFonts w:cs="Arial"/>
        </w:rPr>
        <w:t xml:space="preserve">children did not </w:t>
      </w:r>
      <w:r w:rsidR="005D1109" w:rsidRPr="00771904">
        <w:rPr>
          <w:rFonts w:cs="Arial"/>
        </w:rPr>
        <w:t xml:space="preserve">provide </w:t>
      </w:r>
      <w:r w:rsidRPr="00771904">
        <w:rPr>
          <w:rFonts w:cs="Arial"/>
        </w:rPr>
        <w:t>approv</w:t>
      </w:r>
      <w:r w:rsidR="005D1109" w:rsidRPr="00771904">
        <w:rPr>
          <w:rFonts w:cs="Arial"/>
        </w:rPr>
        <w:t xml:space="preserve">al for a transition </w:t>
      </w:r>
      <w:r w:rsidRPr="00771904">
        <w:rPr>
          <w:rFonts w:cs="Arial"/>
        </w:rPr>
        <w:t>conference with their distri</w:t>
      </w:r>
      <w:r w:rsidR="004B3507" w:rsidRPr="00771904">
        <w:rPr>
          <w:rFonts w:cs="Arial"/>
        </w:rPr>
        <w:t>ct</w:t>
      </w:r>
      <w:r w:rsidR="001509F9" w:rsidRPr="00771904">
        <w:rPr>
          <w:rFonts w:cs="Arial"/>
        </w:rPr>
        <w:t xml:space="preserve"> in time for a timely transition conference</w:t>
      </w:r>
      <w:r w:rsidR="00704A67" w:rsidRPr="00771904">
        <w:rPr>
          <w:rFonts w:cs="Arial"/>
        </w:rPr>
        <w:t>.</w:t>
      </w:r>
    </w:p>
    <w:p w:rsidR="005D1109" w:rsidRPr="00771904" w:rsidRDefault="005D1109" w:rsidP="00BB59EA">
      <w:pPr>
        <w:numPr>
          <w:ilvl w:val="0"/>
          <w:numId w:val="25"/>
        </w:numPr>
        <w:rPr>
          <w:rFonts w:cs="Arial"/>
          <w:szCs w:val="22"/>
        </w:rPr>
      </w:pPr>
      <w:r w:rsidRPr="00771904">
        <w:rPr>
          <w:rFonts w:cs="Arial"/>
        </w:rPr>
        <w:t xml:space="preserve">The families of an additional </w:t>
      </w:r>
      <w:r w:rsidR="00247C6B" w:rsidRPr="00771904">
        <w:rPr>
          <w:rFonts w:cs="Arial"/>
        </w:rPr>
        <w:t>36</w:t>
      </w:r>
      <w:r w:rsidR="002A5C40" w:rsidRPr="00771904">
        <w:rPr>
          <w:rFonts w:cs="Arial"/>
        </w:rPr>
        <w:t xml:space="preserve"> children </w:t>
      </w:r>
      <w:r w:rsidR="007E0F5A" w:rsidRPr="00771904">
        <w:rPr>
          <w:rFonts w:cs="Arial"/>
        </w:rPr>
        <w:t>provide</w:t>
      </w:r>
      <w:r w:rsidR="00884C95" w:rsidRPr="00771904">
        <w:rPr>
          <w:rFonts w:cs="Arial"/>
        </w:rPr>
        <w:t>d</w:t>
      </w:r>
      <w:r w:rsidR="007E0F5A" w:rsidRPr="00771904">
        <w:rPr>
          <w:rFonts w:cs="Arial"/>
        </w:rPr>
        <w:t xml:space="preserve"> approval for a transition conference with their district </w:t>
      </w:r>
      <w:r w:rsidR="00764BF9" w:rsidRPr="00771904">
        <w:rPr>
          <w:rFonts w:cs="Arial"/>
        </w:rPr>
        <w:t xml:space="preserve">but </w:t>
      </w:r>
      <w:r w:rsidR="007E0F5A" w:rsidRPr="00771904">
        <w:rPr>
          <w:rFonts w:cs="Arial"/>
        </w:rPr>
        <w:t xml:space="preserve">chose </w:t>
      </w:r>
      <w:r w:rsidR="00764BF9" w:rsidRPr="00771904">
        <w:rPr>
          <w:rFonts w:cs="Arial"/>
        </w:rPr>
        <w:t xml:space="preserve">to do so </w:t>
      </w:r>
      <w:r w:rsidR="00764BF9" w:rsidRPr="00771904">
        <w:rPr>
          <w:rFonts w:cs="Arial"/>
          <w:szCs w:val="22"/>
        </w:rPr>
        <w:t>less than one week before the 90 day deadline</w:t>
      </w:r>
      <w:r w:rsidR="002A5C40" w:rsidRPr="00771904">
        <w:rPr>
          <w:rFonts w:cs="Arial"/>
          <w:szCs w:val="22"/>
        </w:rPr>
        <w:t>.</w:t>
      </w:r>
    </w:p>
    <w:p w:rsidR="00965ED8" w:rsidRPr="00771904" w:rsidRDefault="00965ED8" w:rsidP="00965ED8">
      <w:pPr>
        <w:ind w:left="720"/>
        <w:rPr>
          <w:rFonts w:cs="Arial"/>
          <w:szCs w:val="22"/>
        </w:rPr>
      </w:pPr>
    </w:p>
    <w:p w:rsidR="006A2192" w:rsidRPr="00771904" w:rsidRDefault="001509F9" w:rsidP="000C1590">
      <w:pPr>
        <w:rPr>
          <w:rFonts w:cs="Arial"/>
          <w:szCs w:val="22"/>
        </w:rPr>
      </w:pPr>
      <w:r w:rsidRPr="00771904">
        <w:rPr>
          <w:rFonts w:cs="Arial"/>
          <w:szCs w:val="22"/>
        </w:rPr>
        <w:t>As described in the previous APR, s</w:t>
      </w:r>
      <w:r w:rsidR="00742801" w:rsidRPr="00771904">
        <w:rPr>
          <w:rFonts w:cs="Arial"/>
          <w:szCs w:val="22"/>
        </w:rPr>
        <w:t xml:space="preserve">takeholders in Connecticut </w:t>
      </w:r>
      <w:r w:rsidR="00985336" w:rsidRPr="00771904">
        <w:rPr>
          <w:rFonts w:cs="Arial"/>
          <w:szCs w:val="22"/>
        </w:rPr>
        <w:t xml:space="preserve">determined that </w:t>
      </w:r>
      <w:r w:rsidR="009F3442" w:rsidRPr="00771904">
        <w:rPr>
          <w:rFonts w:cs="Arial"/>
          <w:szCs w:val="22"/>
        </w:rPr>
        <w:t xml:space="preserve">families, </w:t>
      </w:r>
      <w:r w:rsidR="00985336" w:rsidRPr="00771904">
        <w:rPr>
          <w:rFonts w:cs="Arial"/>
          <w:szCs w:val="22"/>
        </w:rPr>
        <w:t>service coordinators</w:t>
      </w:r>
      <w:r w:rsidR="00742801" w:rsidRPr="00771904">
        <w:rPr>
          <w:rFonts w:cs="Arial"/>
          <w:szCs w:val="22"/>
        </w:rPr>
        <w:t>,</w:t>
      </w:r>
      <w:r w:rsidR="00985336" w:rsidRPr="00771904">
        <w:rPr>
          <w:rFonts w:cs="Arial"/>
          <w:szCs w:val="22"/>
        </w:rPr>
        <w:t xml:space="preserve"> </w:t>
      </w:r>
      <w:r w:rsidR="009F3442" w:rsidRPr="00771904">
        <w:rPr>
          <w:rFonts w:cs="Arial"/>
          <w:szCs w:val="22"/>
        </w:rPr>
        <w:t xml:space="preserve">and </w:t>
      </w:r>
      <w:r w:rsidR="00742801" w:rsidRPr="00771904">
        <w:rPr>
          <w:rFonts w:cs="Arial"/>
          <w:szCs w:val="22"/>
        </w:rPr>
        <w:t xml:space="preserve">school districts </w:t>
      </w:r>
      <w:r w:rsidR="00985336" w:rsidRPr="00771904">
        <w:rPr>
          <w:rFonts w:cs="Arial"/>
          <w:szCs w:val="22"/>
        </w:rPr>
        <w:t>wou</w:t>
      </w:r>
      <w:r w:rsidR="00742801" w:rsidRPr="00771904">
        <w:rPr>
          <w:rFonts w:cs="Arial"/>
          <w:szCs w:val="22"/>
        </w:rPr>
        <w:t xml:space="preserve">ld require at least one week </w:t>
      </w:r>
      <w:proofErr w:type="gramStart"/>
      <w:r w:rsidR="00965ED8" w:rsidRPr="00771904">
        <w:rPr>
          <w:rFonts w:cs="Arial"/>
          <w:szCs w:val="22"/>
        </w:rPr>
        <w:t>to schedule</w:t>
      </w:r>
      <w:proofErr w:type="gramEnd"/>
      <w:r w:rsidR="00742801" w:rsidRPr="00771904">
        <w:rPr>
          <w:rFonts w:cs="Arial"/>
          <w:szCs w:val="22"/>
        </w:rPr>
        <w:t xml:space="preserve"> a </w:t>
      </w:r>
      <w:r w:rsidR="00985336" w:rsidRPr="00771904">
        <w:rPr>
          <w:rFonts w:cs="Arial"/>
          <w:szCs w:val="22"/>
        </w:rPr>
        <w:t>conference</w:t>
      </w:r>
      <w:r w:rsidR="00E57D46" w:rsidRPr="00771904">
        <w:rPr>
          <w:rFonts w:cs="Arial"/>
          <w:szCs w:val="22"/>
        </w:rPr>
        <w:t>.</w:t>
      </w:r>
      <w:r w:rsidR="004B3507" w:rsidRPr="00771904">
        <w:rPr>
          <w:rFonts w:cs="Arial"/>
          <w:szCs w:val="22"/>
        </w:rPr>
        <w:t xml:space="preserve"> </w:t>
      </w:r>
      <w:r w:rsidR="00965ED8" w:rsidRPr="00771904">
        <w:rPr>
          <w:rFonts w:cs="Arial"/>
          <w:szCs w:val="22"/>
        </w:rPr>
        <w:t>Ei</w:t>
      </w:r>
      <w:r w:rsidR="00247C6B" w:rsidRPr="00771904">
        <w:rPr>
          <w:rFonts w:cs="Arial"/>
          <w:szCs w:val="22"/>
        </w:rPr>
        <w:t>ght of t</w:t>
      </w:r>
      <w:r w:rsidR="004B3507" w:rsidRPr="00771904">
        <w:rPr>
          <w:rFonts w:cs="Arial"/>
          <w:szCs w:val="22"/>
        </w:rPr>
        <w:t xml:space="preserve">he families ultimately had transition conferences </w:t>
      </w:r>
      <w:r w:rsidR="00247C6B" w:rsidRPr="00771904">
        <w:rPr>
          <w:rFonts w:cs="Arial"/>
          <w:szCs w:val="22"/>
        </w:rPr>
        <w:t xml:space="preserve">with their LEAs </w:t>
      </w:r>
      <w:r w:rsidR="004B3507" w:rsidRPr="00771904">
        <w:rPr>
          <w:rFonts w:cs="Arial"/>
          <w:szCs w:val="22"/>
        </w:rPr>
        <w:t xml:space="preserve">(Range </w:t>
      </w:r>
      <w:r w:rsidR="00247C6B" w:rsidRPr="00771904">
        <w:rPr>
          <w:rFonts w:cs="Arial"/>
          <w:szCs w:val="22"/>
        </w:rPr>
        <w:t>79-13</w:t>
      </w:r>
      <w:r w:rsidR="00E57D46" w:rsidRPr="00771904">
        <w:rPr>
          <w:rFonts w:cs="Arial"/>
          <w:szCs w:val="22"/>
        </w:rPr>
        <w:t xml:space="preserve"> </w:t>
      </w:r>
      <w:r w:rsidR="004B3507" w:rsidRPr="00771904">
        <w:rPr>
          <w:rFonts w:cs="Arial"/>
          <w:szCs w:val="22"/>
        </w:rPr>
        <w:t>days before age three)</w:t>
      </w:r>
      <w:r w:rsidR="00E57D46" w:rsidRPr="00771904">
        <w:rPr>
          <w:rFonts w:cs="Arial"/>
          <w:szCs w:val="22"/>
        </w:rPr>
        <w:t xml:space="preserve"> and the remaining </w:t>
      </w:r>
      <w:r w:rsidR="00A11C9D" w:rsidRPr="00771904">
        <w:rPr>
          <w:rFonts w:cs="Arial"/>
          <w:szCs w:val="22"/>
        </w:rPr>
        <w:t>reached</w:t>
      </w:r>
      <w:r w:rsidR="00E57D46" w:rsidRPr="00771904">
        <w:rPr>
          <w:rFonts w:cs="Arial"/>
          <w:szCs w:val="22"/>
        </w:rPr>
        <w:t xml:space="preserve"> age three prior to the conference being held</w:t>
      </w:r>
      <w:r w:rsidR="004B3507" w:rsidRPr="00771904">
        <w:rPr>
          <w:rFonts w:cs="Arial"/>
          <w:szCs w:val="22"/>
        </w:rPr>
        <w:t>.  T</w:t>
      </w:r>
      <w:r w:rsidR="006A2192" w:rsidRPr="00771904">
        <w:rPr>
          <w:rFonts w:cs="Arial"/>
          <w:szCs w:val="22"/>
        </w:rPr>
        <w:t>he</w:t>
      </w:r>
      <w:r w:rsidR="005D1109" w:rsidRPr="00771904">
        <w:rPr>
          <w:rFonts w:cs="Arial"/>
          <w:szCs w:val="22"/>
        </w:rPr>
        <w:t xml:space="preserve"> </w:t>
      </w:r>
      <w:r w:rsidR="009521C5" w:rsidRPr="00771904">
        <w:rPr>
          <w:rFonts w:cs="Arial"/>
          <w:szCs w:val="22"/>
        </w:rPr>
        <w:t>244</w:t>
      </w:r>
      <w:r w:rsidR="00247C6B" w:rsidRPr="00771904">
        <w:rPr>
          <w:rFonts w:cs="Arial"/>
          <w:szCs w:val="22"/>
        </w:rPr>
        <w:t xml:space="preserve"> (</w:t>
      </w:r>
      <w:r w:rsidR="009521C5" w:rsidRPr="00771904">
        <w:rPr>
          <w:rFonts w:cs="Arial"/>
          <w:szCs w:val="22"/>
        </w:rPr>
        <w:t>208</w:t>
      </w:r>
      <w:r w:rsidR="00247C6B" w:rsidRPr="00771904">
        <w:rPr>
          <w:rFonts w:cs="Arial"/>
          <w:szCs w:val="22"/>
        </w:rPr>
        <w:t xml:space="preserve">+36) </w:t>
      </w:r>
      <w:r w:rsidR="005D1109" w:rsidRPr="00771904">
        <w:rPr>
          <w:rFonts w:cs="Arial"/>
          <w:szCs w:val="22"/>
        </w:rPr>
        <w:t xml:space="preserve">records </w:t>
      </w:r>
      <w:r w:rsidR="006A2192" w:rsidRPr="00771904">
        <w:rPr>
          <w:rFonts w:cs="Arial"/>
          <w:szCs w:val="22"/>
        </w:rPr>
        <w:t xml:space="preserve">were not included </w:t>
      </w:r>
      <w:r w:rsidR="00884C95" w:rsidRPr="00771904">
        <w:rPr>
          <w:rFonts w:cs="Arial"/>
          <w:szCs w:val="22"/>
        </w:rPr>
        <w:t xml:space="preserve">in </w:t>
      </w:r>
      <w:r w:rsidR="00915076" w:rsidRPr="00771904">
        <w:rPr>
          <w:rFonts w:cs="Arial"/>
          <w:szCs w:val="22"/>
        </w:rPr>
        <w:t xml:space="preserve">the </w:t>
      </w:r>
      <w:r w:rsidR="00884C95" w:rsidRPr="00771904">
        <w:rPr>
          <w:rFonts w:cs="Arial"/>
        </w:rPr>
        <w:t xml:space="preserve">numerator </w:t>
      </w:r>
      <w:r w:rsidR="006A2192" w:rsidRPr="00771904">
        <w:rPr>
          <w:rFonts w:cs="Arial"/>
        </w:rPr>
        <w:t xml:space="preserve">or the denominator. </w:t>
      </w:r>
    </w:p>
    <w:p w:rsidR="00704A67" w:rsidRPr="00771904" w:rsidRDefault="00704A67" w:rsidP="00704A67">
      <w:pPr>
        <w:rPr>
          <w:rFonts w:cs="Arial"/>
          <w:sz w:val="12"/>
          <w:szCs w:val="12"/>
        </w:rPr>
      </w:pPr>
    </w:p>
    <w:p w:rsidR="002A5C40" w:rsidRPr="00771904" w:rsidRDefault="00742801" w:rsidP="002A5C40">
      <w:pPr>
        <w:autoSpaceDE w:val="0"/>
        <w:autoSpaceDN w:val="0"/>
        <w:adjustRightInd w:val="0"/>
        <w:rPr>
          <w:rFonts w:cs="Arial"/>
          <w:szCs w:val="22"/>
        </w:rPr>
      </w:pPr>
      <w:r w:rsidRPr="00771904">
        <w:rPr>
          <w:rFonts w:eastAsia="Calibri" w:cs="Arial"/>
          <w:bCs/>
          <w:szCs w:val="22"/>
        </w:rPr>
        <w:t xml:space="preserve">For the purpose of this </w:t>
      </w:r>
      <w:r w:rsidR="006A2192" w:rsidRPr="00771904">
        <w:rPr>
          <w:rFonts w:eastAsia="Calibri" w:cs="Arial"/>
          <w:bCs/>
          <w:szCs w:val="22"/>
        </w:rPr>
        <w:t xml:space="preserve">APR </w:t>
      </w:r>
      <w:r w:rsidR="009521C5" w:rsidRPr="00771904">
        <w:rPr>
          <w:rFonts w:eastAsia="Calibri" w:cs="Arial"/>
          <w:bCs/>
          <w:szCs w:val="22"/>
        </w:rPr>
        <w:t>indicator</w:t>
      </w:r>
      <w:r w:rsidRPr="00771904">
        <w:rPr>
          <w:rFonts w:eastAsia="Calibri" w:cs="Arial"/>
          <w:bCs/>
          <w:szCs w:val="22"/>
        </w:rPr>
        <w:t xml:space="preserve">, </w:t>
      </w:r>
      <w:r w:rsidR="006A2192" w:rsidRPr="00771904">
        <w:rPr>
          <w:rFonts w:eastAsia="Calibri" w:cs="Arial"/>
          <w:bCs/>
          <w:szCs w:val="22"/>
        </w:rPr>
        <w:t>“</w:t>
      </w:r>
      <w:r w:rsidRPr="00771904">
        <w:rPr>
          <w:rFonts w:eastAsia="Calibri" w:cs="Arial"/>
          <w:bCs/>
          <w:szCs w:val="22"/>
        </w:rPr>
        <w:t>p</w:t>
      </w:r>
      <w:r w:rsidR="002A5C40" w:rsidRPr="00771904">
        <w:rPr>
          <w:rFonts w:eastAsia="Calibri" w:cs="Arial"/>
          <w:bCs/>
          <w:szCs w:val="22"/>
        </w:rPr>
        <w:t>otentially eligible</w:t>
      </w:r>
      <w:r w:rsidR="006A2192" w:rsidRPr="00771904">
        <w:rPr>
          <w:rFonts w:eastAsia="Calibri" w:cs="Arial"/>
          <w:bCs/>
          <w:szCs w:val="22"/>
        </w:rPr>
        <w:t>”</w:t>
      </w:r>
      <w:r w:rsidR="002A5C40" w:rsidRPr="00771904">
        <w:rPr>
          <w:rFonts w:eastAsia="Calibri" w:cs="Arial"/>
          <w:bCs/>
          <w:szCs w:val="22"/>
        </w:rPr>
        <w:t xml:space="preserve"> in Connecticut means that the child was still eligible </w:t>
      </w:r>
      <w:r w:rsidR="008443A2" w:rsidRPr="00771904">
        <w:rPr>
          <w:rFonts w:eastAsia="Calibri" w:cs="Arial"/>
          <w:bCs/>
          <w:szCs w:val="22"/>
        </w:rPr>
        <w:t xml:space="preserve">and enrolled in </w:t>
      </w:r>
      <w:r w:rsidR="002A5C40" w:rsidRPr="00771904">
        <w:rPr>
          <w:rFonts w:eastAsia="Calibri" w:cs="Arial"/>
          <w:bCs/>
          <w:szCs w:val="22"/>
        </w:rPr>
        <w:t xml:space="preserve">Birth to Three over </w:t>
      </w:r>
      <w:r w:rsidRPr="00771904">
        <w:rPr>
          <w:rFonts w:eastAsia="Calibri" w:cs="Arial"/>
          <w:bCs/>
          <w:szCs w:val="22"/>
        </w:rPr>
        <w:t xml:space="preserve">the </w:t>
      </w:r>
      <w:r w:rsidR="002A5C40" w:rsidRPr="00771904">
        <w:rPr>
          <w:rFonts w:eastAsia="Calibri" w:cs="Arial"/>
          <w:bCs/>
          <w:szCs w:val="22"/>
        </w:rPr>
        <w:t xml:space="preserve">age </w:t>
      </w:r>
      <w:r w:rsidR="00915076" w:rsidRPr="00771904">
        <w:rPr>
          <w:rFonts w:eastAsia="Calibri" w:cs="Arial"/>
          <w:bCs/>
          <w:szCs w:val="22"/>
        </w:rPr>
        <w:t xml:space="preserve">of </w:t>
      </w:r>
      <w:r w:rsidR="003C1539" w:rsidRPr="00771904">
        <w:rPr>
          <w:rFonts w:eastAsia="Calibri" w:cs="Arial"/>
          <w:bCs/>
          <w:szCs w:val="22"/>
        </w:rPr>
        <w:t>30 months</w:t>
      </w:r>
      <w:r w:rsidR="002A5C40" w:rsidRPr="00771904">
        <w:rPr>
          <w:rFonts w:eastAsia="Calibri" w:cs="Arial"/>
          <w:bCs/>
          <w:szCs w:val="22"/>
        </w:rPr>
        <w:t xml:space="preserve">, </w:t>
      </w:r>
      <w:r w:rsidRPr="00771904">
        <w:rPr>
          <w:rFonts w:eastAsia="Calibri" w:cs="Arial"/>
          <w:bCs/>
          <w:szCs w:val="22"/>
        </w:rPr>
        <w:t xml:space="preserve">the family </w:t>
      </w:r>
      <w:r w:rsidR="002A5C40" w:rsidRPr="00771904">
        <w:rPr>
          <w:rFonts w:eastAsia="Calibri" w:cs="Arial"/>
          <w:bCs/>
          <w:szCs w:val="22"/>
        </w:rPr>
        <w:t xml:space="preserve">exited </w:t>
      </w:r>
      <w:r w:rsidRPr="00771904">
        <w:rPr>
          <w:rFonts w:eastAsia="Calibri" w:cs="Arial"/>
          <w:bCs/>
          <w:szCs w:val="22"/>
        </w:rPr>
        <w:t xml:space="preserve">Birth to Three </w:t>
      </w:r>
      <w:r w:rsidR="002A5C40" w:rsidRPr="00771904">
        <w:rPr>
          <w:rFonts w:eastAsia="Calibri" w:cs="Arial"/>
          <w:bCs/>
          <w:szCs w:val="22"/>
        </w:rPr>
        <w:t>after age 33 months</w:t>
      </w:r>
      <w:r w:rsidRPr="00771904">
        <w:rPr>
          <w:rFonts w:eastAsia="Calibri" w:cs="Arial"/>
          <w:bCs/>
          <w:szCs w:val="22"/>
        </w:rPr>
        <w:t>,</w:t>
      </w:r>
      <w:r w:rsidR="002A5C40" w:rsidRPr="00771904">
        <w:rPr>
          <w:rFonts w:eastAsia="Calibri" w:cs="Arial"/>
          <w:bCs/>
          <w:szCs w:val="22"/>
        </w:rPr>
        <w:t xml:space="preserve"> </w:t>
      </w:r>
      <w:r w:rsidR="002A5C40" w:rsidRPr="00771904">
        <w:rPr>
          <w:rFonts w:cs="Arial"/>
          <w:szCs w:val="22"/>
        </w:rPr>
        <w:t xml:space="preserve">and </w:t>
      </w:r>
      <w:r w:rsidR="00232FEA" w:rsidRPr="00771904">
        <w:rPr>
          <w:rFonts w:cs="Arial"/>
          <w:szCs w:val="22"/>
        </w:rPr>
        <w:t xml:space="preserve">that at least </w:t>
      </w:r>
      <w:r w:rsidR="00E57D46" w:rsidRPr="00771904">
        <w:rPr>
          <w:rFonts w:cs="Arial"/>
          <w:szCs w:val="22"/>
        </w:rPr>
        <w:t>97</w:t>
      </w:r>
      <w:r w:rsidR="00232FEA" w:rsidRPr="00771904">
        <w:rPr>
          <w:rFonts w:cs="Arial"/>
          <w:szCs w:val="22"/>
        </w:rPr>
        <w:t xml:space="preserve"> days before age three, </w:t>
      </w:r>
      <w:r w:rsidR="002A5C40" w:rsidRPr="00771904">
        <w:rPr>
          <w:rFonts w:cs="Arial"/>
          <w:szCs w:val="22"/>
        </w:rPr>
        <w:t xml:space="preserve">the parent </w:t>
      </w:r>
      <w:r w:rsidR="00B5655E" w:rsidRPr="00771904">
        <w:rPr>
          <w:rFonts w:cs="Arial"/>
        </w:rPr>
        <w:t>provided approval for a transition conference with their district</w:t>
      </w:r>
      <w:r w:rsidR="00114B55" w:rsidRPr="00771904">
        <w:rPr>
          <w:rFonts w:cs="Arial"/>
          <w:szCs w:val="22"/>
        </w:rPr>
        <w:t>.</w:t>
      </w:r>
    </w:p>
    <w:p w:rsidR="00704A67" w:rsidRPr="00771904" w:rsidRDefault="00704A67" w:rsidP="00704A67">
      <w:pPr>
        <w:rPr>
          <w:rFonts w:cs="Arial"/>
          <w:sz w:val="12"/>
          <w:szCs w:val="12"/>
        </w:rPr>
      </w:pPr>
    </w:p>
    <w:p w:rsidR="000C1590" w:rsidRPr="00771904" w:rsidRDefault="000C1590" w:rsidP="000C1590">
      <w:pPr>
        <w:rPr>
          <w:rFonts w:cs="Arial"/>
        </w:rPr>
      </w:pPr>
      <w:r w:rsidRPr="00771904">
        <w:rPr>
          <w:rFonts w:cs="Arial"/>
        </w:rPr>
        <w:t>As a result</w:t>
      </w:r>
      <w:r w:rsidR="00F81E51" w:rsidRPr="00771904">
        <w:rPr>
          <w:rFonts w:cs="Arial"/>
        </w:rPr>
        <w:t>,</w:t>
      </w:r>
      <w:r w:rsidRPr="00771904">
        <w:rPr>
          <w:rFonts w:cs="Arial"/>
        </w:rPr>
        <w:t xml:space="preserve"> </w:t>
      </w:r>
      <w:r w:rsidR="00247C6B" w:rsidRPr="00771904">
        <w:rPr>
          <w:rFonts w:cs="Arial"/>
        </w:rPr>
        <w:t>2544</w:t>
      </w:r>
      <w:r w:rsidRPr="00771904">
        <w:rPr>
          <w:rFonts w:cs="Arial"/>
        </w:rPr>
        <w:t xml:space="preserve"> children were determined to be potentially eligible for preschool </w:t>
      </w:r>
      <w:r w:rsidR="003436C1" w:rsidRPr="00771904">
        <w:rPr>
          <w:rFonts w:cs="Arial"/>
        </w:rPr>
        <w:t>special education during the ‘1</w:t>
      </w:r>
      <w:r w:rsidR="00B63842" w:rsidRPr="00771904">
        <w:rPr>
          <w:rFonts w:cs="Arial"/>
        </w:rPr>
        <w:t>2-’13</w:t>
      </w:r>
      <w:r w:rsidRPr="00771904">
        <w:rPr>
          <w:rFonts w:cs="Arial"/>
        </w:rPr>
        <w:t xml:space="preserve"> year</w:t>
      </w:r>
      <w:r w:rsidR="003C1539" w:rsidRPr="00771904">
        <w:rPr>
          <w:rFonts w:cs="Arial"/>
        </w:rPr>
        <w:t xml:space="preserve"> for the purpose of this APR measure</w:t>
      </w:r>
      <w:r w:rsidRPr="00771904">
        <w:rPr>
          <w:rFonts w:cs="Arial"/>
        </w:rPr>
        <w:t>.  Based on verification emails</w:t>
      </w:r>
      <w:r w:rsidR="006A2192" w:rsidRPr="00771904">
        <w:rPr>
          <w:rFonts w:cs="Arial"/>
        </w:rPr>
        <w:t xml:space="preserve">, </w:t>
      </w:r>
      <w:r w:rsidR="00704A67" w:rsidRPr="00771904">
        <w:rPr>
          <w:rFonts w:cs="Arial"/>
        </w:rPr>
        <w:t xml:space="preserve">transition </w:t>
      </w:r>
      <w:r w:rsidR="006A2192" w:rsidRPr="00771904">
        <w:rPr>
          <w:rFonts w:cs="Arial"/>
        </w:rPr>
        <w:t>conferences for</w:t>
      </w:r>
      <w:r w:rsidRPr="00771904">
        <w:rPr>
          <w:rFonts w:cs="Arial"/>
        </w:rPr>
        <w:t xml:space="preserve"> </w:t>
      </w:r>
      <w:r w:rsidR="00247C6B" w:rsidRPr="00771904">
        <w:rPr>
          <w:rFonts w:cs="Arial"/>
        </w:rPr>
        <w:t>299</w:t>
      </w:r>
      <w:r w:rsidRPr="00771904">
        <w:rPr>
          <w:rFonts w:cs="Arial"/>
        </w:rPr>
        <w:t xml:space="preserve"> </w:t>
      </w:r>
      <w:r w:rsidR="006A2192" w:rsidRPr="00771904">
        <w:rPr>
          <w:rFonts w:cs="Arial"/>
        </w:rPr>
        <w:t xml:space="preserve">families </w:t>
      </w:r>
      <w:r w:rsidRPr="00771904">
        <w:rPr>
          <w:rFonts w:cs="Arial"/>
        </w:rPr>
        <w:t xml:space="preserve">were held late </w:t>
      </w:r>
      <w:r w:rsidR="00DE76A3" w:rsidRPr="00771904">
        <w:rPr>
          <w:rFonts w:cs="Arial"/>
        </w:rPr>
        <w:t>or</w:t>
      </w:r>
      <w:r w:rsidRPr="00771904">
        <w:rPr>
          <w:rFonts w:cs="Arial"/>
        </w:rPr>
        <w:t xml:space="preserve"> were not held </w:t>
      </w:r>
      <w:r w:rsidR="00704A67" w:rsidRPr="00771904">
        <w:rPr>
          <w:rFonts w:cs="Arial"/>
        </w:rPr>
        <w:t xml:space="preserve">at all </w:t>
      </w:r>
      <w:r w:rsidRPr="00771904">
        <w:rPr>
          <w:rFonts w:cs="Arial"/>
        </w:rPr>
        <w:t xml:space="preserve">prior to the children turning age three due to documented extraordinary family circumstances.  These </w:t>
      </w:r>
      <w:r w:rsidR="00247C6B" w:rsidRPr="00771904">
        <w:rPr>
          <w:rFonts w:cs="Arial"/>
        </w:rPr>
        <w:t>299</w:t>
      </w:r>
      <w:r w:rsidR="00DE76A3" w:rsidRPr="00771904">
        <w:rPr>
          <w:rFonts w:cs="Arial"/>
        </w:rPr>
        <w:t xml:space="preserve"> </w:t>
      </w:r>
      <w:r w:rsidRPr="00771904">
        <w:rPr>
          <w:rFonts w:cs="Arial"/>
        </w:rPr>
        <w:t xml:space="preserve">were included in </w:t>
      </w:r>
      <w:r w:rsidR="00B5655E" w:rsidRPr="00771904">
        <w:rPr>
          <w:rFonts w:cs="Arial"/>
        </w:rPr>
        <w:t xml:space="preserve">both </w:t>
      </w:r>
      <w:r w:rsidRPr="00771904">
        <w:rPr>
          <w:rFonts w:cs="Arial"/>
        </w:rPr>
        <w:t>the numerator and the denominator.</w:t>
      </w:r>
      <w:r w:rsidR="006F2D48" w:rsidRPr="00771904">
        <w:rPr>
          <w:rFonts w:cs="Arial"/>
        </w:rPr>
        <w:t xml:space="preserve">  </w:t>
      </w:r>
    </w:p>
    <w:p w:rsidR="00B87D81" w:rsidRPr="00771904" w:rsidRDefault="00B87D81" w:rsidP="00B87D81">
      <w:pPr>
        <w:spacing w:before="120" w:after="120"/>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occurred in </w:t>
      </w:r>
      <w:r w:rsidR="00205C4E" w:rsidRPr="00771904">
        <w:rPr>
          <w:rFonts w:cs="Arial"/>
          <w:b/>
          <w:szCs w:val="22"/>
        </w:rPr>
        <w:t>FFY12 (July 1, 2012-June 30, 2013)</w:t>
      </w:r>
      <w:r w:rsidRPr="00771904">
        <w:rPr>
          <w:rFonts w:cs="Arial"/>
          <w:b/>
          <w:szCs w:val="22"/>
        </w:rPr>
        <w:t>:</w:t>
      </w:r>
    </w:p>
    <w:p w:rsidR="00B87D81" w:rsidRPr="00771904" w:rsidRDefault="00B87D81" w:rsidP="00B87D81">
      <w:pPr>
        <w:rPr>
          <w:rFonts w:cs="Arial"/>
          <w:szCs w:val="22"/>
        </w:rPr>
      </w:pPr>
      <w:r w:rsidRPr="00771904">
        <w:rPr>
          <w:rFonts w:cs="Arial"/>
          <w:szCs w:val="22"/>
        </w:rPr>
        <w:t>While Connecticut did not meet its target</w:t>
      </w:r>
      <w:r w:rsidR="00363251" w:rsidRPr="00771904">
        <w:rPr>
          <w:rFonts w:cs="Arial"/>
          <w:szCs w:val="22"/>
        </w:rPr>
        <w:t>,</w:t>
      </w:r>
      <w:r w:rsidRPr="00771904">
        <w:rPr>
          <w:rFonts w:cs="Arial"/>
          <w:szCs w:val="22"/>
        </w:rPr>
        <w:t xml:space="preserve"> </w:t>
      </w:r>
      <w:r w:rsidR="00192829" w:rsidRPr="00771904">
        <w:rPr>
          <w:rFonts w:cs="Arial"/>
          <w:szCs w:val="22"/>
        </w:rPr>
        <w:t>the state</w:t>
      </w:r>
      <w:r w:rsidRPr="00771904">
        <w:rPr>
          <w:rFonts w:cs="Arial"/>
          <w:szCs w:val="22"/>
        </w:rPr>
        <w:t xml:space="preserve"> </w:t>
      </w:r>
      <w:r w:rsidR="00205C4E" w:rsidRPr="00771904">
        <w:rPr>
          <w:rFonts w:cs="Arial"/>
          <w:szCs w:val="22"/>
        </w:rPr>
        <w:t xml:space="preserve">data did not change from the </w:t>
      </w:r>
      <w:r w:rsidR="00247C6B" w:rsidRPr="00771904">
        <w:rPr>
          <w:rFonts w:cs="Arial"/>
          <w:szCs w:val="22"/>
        </w:rPr>
        <w:t>’11-’12-</w:t>
      </w:r>
      <w:r w:rsidR="00E57D46" w:rsidRPr="00771904">
        <w:rPr>
          <w:rFonts w:cs="Arial"/>
          <w:szCs w:val="22"/>
        </w:rPr>
        <w:t xml:space="preserve">year </w:t>
      </w:r>
      <w:r w:rsidR="00247C6B" w:rsidRPr="00771904">
        <w:rPr>
          <w:rFonts w:cs="Arial"/>
          <w:szCs w:val="22"/>
        </w:rPr>
        <w:t xml:space="preserve">at </w:t>
      </w:r>
      <w:r w:rsidR="00E57D46" w:rsidRPr="00771904">
        <w:rPr>
          <w:rFonts w:cs="Arial"/>
          <w:szCs w:val="22"/>
        </w:rPr>
        <w:t xml:space="preserve">99% and </w:t>
      </w:r>
      <w:r w:rsidRPr="00771904">
        <w:rPr>
          <w:rFonts w:cs="Arial"/>
          <w:szCs w:val="22"/>
        </w:rPr>
        <w:t xml:space="preserve">continues to </w:t>
      </w:r>
      <w:r w:rsidR="008443A2" w:rsidRPr="00771904">
        <w:rPr>
          <w:rFonts w:cs="Arial"/>
          <w:szCs w:val="22"/>
        </w:rPr>
        <w:t xml:space="preserve">demonstrate </w:t>
      </w:r>
      <w:r w:rsidRPr="00771904">
        <w:rPr>
          <w:rFonts w:cs="Arial"/>
          <w:szCs w:val="22"/>
        </w:rPr>
        <w:t>very high levels of compliance.</w:t>
      </w:r>
      <w:r w:rsidR="00DE76A3" w:rsidRPr="00771904">
        <w:rPr>
          <w:rFonts w:cs="Arial"/>
          <w:szCs w:val="22"/>
        </w:rPr>
        <w:t xml:space="preserve"> </w:t>
      </w:r>
    </w:p>
    <w:p w:rsidR="001560E5" w:rsidRPr="00771904" w:rsidRDefault="001560E5" w:rsidP="00B87D81">
      <w:pPr>
        <w:rPr>
          <w:rFonts w:cs="Arial"/>
          <w:sz w:val="12"/>
          <w:szCs w:val="12"/>
        </w:rPr>
      </w:pPr>
    </w:p>
    <w:p w:rsidR="00B87D81" w:rsidRPr="00771904" w:rsidRDefault="00C47124" w:rsidP="00B87D81">
      <w:pPr>
        <w:rPr>
          <w:rFonts w:cs="Arial"/>
          <w:szCs w:val="22"/>
        </w:rPr>
      </w:pPr>
      <w:r w:rsidRPr="00771904">
        <w:rPr>
          <w:rFonts w:cs="Arial"/>
          <w:szCs w:val="22"/>
        </w:rPr>
        <w:t xml:space="preserve">There were only </w:t>
      </w:r>
      <w:r w:rsidR="00247C6B" w:rsidRPr="00771904">
        <w:rPr>
          <w:rFonts w:cs="Arial"/>
          <w:szCs w:val="22"/>
        </w:rPr>
        <w:t xml:space="preserve">20 </w:t>
      </w:r>
      <w:r w:rsidR="003E4D35" w:rsidRPr="00771904">
        <w:rPr>
          <w:rFonts w:cs="Arial"/>
          <w:szCs w:val="22"/>
        </w:rPr>
        <w:t xml:space="preserve">late </w:t>
      </w:r>
      <w:r w:rsidR="00B87D81" w:rsidRPr="00771904">
        <w:rPr>
          <w:rFonts w:cs="Arial"/>
          <w:szCs w:val="22"/>
        </w:rPr>
        <w:t xml:space="preserve">conferences </w:t>
      </w:r>
      <w:r w:rsidRPr="00771904">
        <w:rPr>
          <w:rFonts w:cs="Arial"/>
          <w:szCs w:val="22"/>
        </w:rPr>
        <w:t xml:space="preserve">and all </w:t>
      </w:r>
      <w:r w:rsidR="00B87D81" w:rsidRPr="00771904">
        <w:rPr>
          <w:rFonts w:cs="Arial"/>
          <w:szCs w:val="22"/>
        </w:rPr>
        <w:t xml:space="preserve">were </w:t>
      </w:r>
      <w:r w:rsidR="00711CD4" w:rsidRPr="00771904">
        <w:rPr>
          <w:rFonts w:cs="Arial"/>
          <w:szCs w:val="22"/>
        </w:rPr>
        <w:t xml:space="preserve">due to </w:t>
      </w:r>
      <w:r w:rsidR="00247C6B" w:rsidRPr="00771904">
        <w:rPr>
          <w:rFonts w:cs="Arial"/>
          <w:szCs w:val="22"/>
        </w:rPr>
        <w:t>program error</w:t>
      </w:r>
      <w:r w:rsidRPr="00771904">
        <w:rPr>
          <w:rFonts w:cs="Arial"/>
          <w:szCs w:val="22"/>
        </w:rPr>
        <w:t xml:space="preserve">.  They occurred </w:t>
      </w:r>
      <w:r w:rsidR="00711CD4" w:rsidRPr="00771904">
        <w:rPr>
          <w:rFonts w:cs="Arial"/>
          <w:szCs w:val="22"/>
        </w:rPr>
        <w:t xml:space="preserve">at </w:t>
      </w:r>
      <w:r w:rsidRPr="00771904">
        <w:rPr>
          <w:rFonts w:cs="Arial"/>
          <w:szCs w:val="22"/>
        </w:rPr>
        <w:t xml:space="preserve">only </w:t>
      </w:r>
      <w:r w:rsidR="001509F9" w:rsidRPr="00771904">
        <w:rPr>
          <w:rFonts w:cs="Arial"/>
          <w:szCs w:val="22"/>
        </w:rPr>
        <w:t xml:space="preserve">7 </w:t>
      </w:r>
      <w:r w:rsidR="00247C6B" w:rsidRPr="00771904">
        <w:rPr>
          <w:rFonts w:cs="Arial"/>
          <w:szCs w:val="22"/>
        </w:rPr>
        <w:t>out of 41 programs</w:t>
      </w:r>
      <w:r w:rsidRPr="00771904">
        <w:rPr>
          <w:rFonts w:cs="Arial"/>
          <w:szCs w:val="22"/>
        </w:rPr>
        <w:t xml:space="preserve"> and o</w:t>
      </w:r>
      <w:r w:rsidR="00965ED8" w:rsidRPr="00771904">
        <w:rPr>
          <w:rFonts w:cs="Arial"/>
          <w:szCs w:val="22"/>
        </w:rPr>
        <w:t>ver half</w:t>
      </w:r>
      <w:r w:rsidR="0018291F" w:rsidRPr="00771904">
        <w:rPr>
          <w:rFonts w:cs="Arial"/>
          <w:szCs w:val="22"/>
        </w:rPr>
        <w:t xml:space="preserve"> of late conferences </w:t>
      </w:r>
      <w:r w:rsidR="00965ED8" w:rsidRPr="00771904">
        <w:rPr>
          <w:rFonts w:cs="Arial"/>
          <w:szCs w:val="22"/>
        </w:rPr>
        <w:t xml:space="preserve">(11) </w:t>
      </w:r>
      <w:r w:rsidR="001509F9" w:rsidRPr="00771904">
        <w:rPr>
          <w:rFonts w:cs="Arial"/>
          <w:szCs w:val="22"/>
        </w:rPr>
        <w:t xml:space="preserve">occurred </w:t>
      </w:r>
      <w:r w:rsidR="00965ED8" w:rsidRPr="00771904">
        <w:rPr>
          <w:rFonts w:cs="Arial"/>
          <w:szCs w:val="22"/>
        </w:rPr>
        <w:t>at one program</w:t>
      </w:r>
      <w:r w:rsidRPr="00771904">
        <w:rPr>
          <w:rFonts w:cs="Arial"/>
          <w:szCs w:val="22"/>
        </w:rPr>
        <w:t xml:space="preserve">.  That program </w:t>
      </w:r>
      <w:r w:rsidR="001509F9" w:rsidRPr="00771904">
        <w:rPr>
          <w:rFonts w:cs="Arial"/>
          <w:szCs w:val="22"/>
        </w:rPr>
        <w:t xml:space="preserve">has a corrective action plan in place and </w:t>
      </w:r>
      <w:r w:rsidR="00965ED8" w:rsidRPr="00771904">
        <w:rPr>
          <w:rFonts w:cs="Arial"/>
          <w:szCs w:val="22"/>
        </w:rPr>
        <w:t xml:space="preserve">is no longer receiving </w:t>
      </w:r>
      <w:r w:rsidR="001509F9" w:rsidRPr="00771904">
        <w:rPr>
          <w:rFonts w:cs="Arial"/>
          <w:szCs w:val="22"/>
        </w:rPr>
        <w:t xml:space="preserve">new </w:t>
      </w:r>
      <w:r w:rsidR="00965ED8" w:rsidRPr="00771904">
        <w:rPr>
          <w:rFonts w:cs="Arial"/>
          <w:szCs w:val="22"/>
        </w:rPr>
        <w:t xml:space="preserve">referrals. </w:t>
      </w:r>
      <w:r w:rsidR="00247C6B" w:rsidRPr="00771904">
        <w:rPr>
          <w:rFonts w:cs="Arial"/>
          <w:szCs w:val="22"/>
        </w:rPr>
        <w:t xml:space="preserve"> </w:t>
      </w:r>
      <w:r w:rsidRPr="00771904">
        <w:rPr>
          <w:rFonts w:cs="Arial"/>
          <w:szCs w:val="22"/>
        </w:rPr>
        <w:t xml:space="preserve">Thirteen of the 20 families </w:t>
      </w:r>
      <w:r w:rsidR="00965ED8" w:rsidRPr="00771904">
        <w:rPr>
          <w:rFonts w:cs="Arial"/>
          <w:szCs w:val="22"/>
        </w:rPr>
        <w:t>ultimately had conferences</w:t>
      </w:r>
      <w:r w:rsidR="0018291F" w:rsidRPr="00771904">
        <w:rPr>
          <w:rFonts w:cs="Arial"/>
          <w:szCs w:val="22"/>
        </w:rPr>
        <w:t>,</w:t>
      </w:r>
      <w:r w:rsidR="00345796" w:rsidRPr="00771904">
        <w:rPr>
          <w:rFonts w:cs="Arial"/>
          <w:szCs w:val="22"/>
        </w:rPr>
        <w:t xml:space="preserve"> </w:t>
      </w:r>
      <w:r w:rsidR="001509F9" w:rsidRPr="00771904">
        <w:rPr>
          <w:rFonts w:cs="Arial"/>
          <w:szCs w:val="22"/>
        </w:rPr>
        <w:t xml:space="preserve">although late </w:t>
      </w:r>
      <w:r w:rsidR="00345796" w:rsidRPr="00771904">
        <w:rPr>
          <w:rFonts w:cs="Arial"/>
          <w:szCs w:val="22"/>
        </w:rPr>
        <w:t>(R</w:t>
      </w:r>
      <w:r w:rsidR="00247C6B" w:rsidRPr="00771904">
        <w:rPr>
          <w:rFonts w:cs="Arial"/>
          <w:szCs w:val="22"/>
        </w:rPr>
        <w:t>ange 89-16 days before age three</w:t>
      </w:r>
      <w:r w:rsidR="00345796" w:rsidRPr="00771904">
        <w:rPr>
          <w:rFonts w:cs="Arial"/>
          <w:szCs w:val="22"/>
        </w:rPr>
        <w:t>)</w:t>
      </w:r>
      <w:r w:rsidR="00965ED8" w:rsidRPr="00771904">
        <w:rPr>
          <w:rFonts w:cs="Arial"/>
          <w:szCs w:val="22"/>
        </w:rPr>
        <w:t xml:space="preserve">.  </w:t>
      </w:r>
      <w:r w:rsidR="001509F9" w:rsidRPr="00771904">
        <w:rPr>
          <w:rFonts w:cs="Arial"/>
          <w:szCs w:val="22"/>
        </w:rPr>
        <w:t>For the remaining 7</w:t>
      </w:r>
      <w:r w:rsidR="0018291F" w:rsidRPr="00771904">
        <w:rPr>
          <w:rFonts w:cs="Arial"/>
          <w:szCs w:val="22"/>
        </w:rPr>
        <w:t xml:space="preserve"> families</w:t>
      </w:r>
      <w:r w:rsidR="001509F9" w:rsidRPr="00771904">
        <w:rPr>
          <w:rFonts w:cs="Arial"/>
          <w:szCs w:val="22"/>
        </w:rPr>
        <w:t xml:space="preserve">, </w:t>
      </w:r>
      <w:r w:rsidR="0018291F" w:rsidRPr="00771904">
        <w:rPr>
          <w:rFonts w:cs="Arial"/>
          <w:szCs w:val="22"/>
        </w:rPr>
        <w:t xml:space="preserve">the </w:t>
      </w:r>
      <w:r w:rsidR="001509F9" w:rsidRPr="00771904">
        <w:rPr>
          <w:rFonts w:cs="Arial"/>
          <w:szCs w:val="22"/>
        </w:rPr>
        <w:t xml:space="preserve">programs were unable to convene conferences </w:t>
      </w:r>
      <w:r w:rsidR="00247C6B" w:rsidRPr="00771904">
        <w:rPr>
          <w:rFonts w:cs="Arial"/>
          <w:szCs w:val="22"/>
        </w:rPr>
        <w:t xml:space="preserve">prior to the </w:t>
      </w:r>
      <w:r w:rsidR="001509F9" w:rsidRPr="00771904">
        <w:rPr>
          <w:rFonts w:cs="Arial"/>
          <w:szCs w:val="22"/>
        </w:rPr>
        <w:t xml:space="preserve">children </w:t>
      </w:r>
      <w:r w:rsidR="00247C6B" w:rsidRPr="00771904">
        <w:rPr>
          <w:rFonts w:cs="Arial"/>
          <w:szCs w:val="22"/>
        </w:rPr>
        <w:t xml:space="preserve">turning age </w:t>
      </w:r>
      <w:r w:rsidRPr="00771904">
        <w:rPr>
          <w:rFonts w:cs="Arial"/>
          <w:szCs w:val="22"/>
        </w:rPr>
        <w:t>3</w:t>
      </w:r>
      <w:r w:rsidR="00247C6B" w:rsidRPr="00771904">
        <w:rPr>
          <w:rFonts w:cs="Arial"/>
          <w:szCs w:val="22"/>
        </w:rPr>
        <w:t>.</w:t>
      </w:r>
    </w:p>
    <w:p w:rsidR="00E4679D" w:rsidRPr="00771904" w:rsidRDefault="00E4679D" w:rsidP="00965ED8">
      <w:pPr>
        <w:rPr>
          <w:rFonts w:cs="Arial"/>
          <w:szCs w:val="22"/>
        </w:rPr>
      </w:pPr>
    </w:p>
    <w:p w:rsidR="00B87D81" w:rsidRPr="00771904" w:rsidRDefault="003C0D85" w:rsidP="00B87D81">
      <w:pPr>
        <w:rPr>
          <w:rFonts w:cs="Arial"/>
          <w:b/>
          <w:szCs w:val="22"/>
        </w:rPr>
      </w:pPr>
      <w:r w:rsidRPr="00771904">
        <w:rPr>
          <w:rFonts w:eastAsia="Calibri" w:cs="Arial"/>
          <w:b/>
          <w:bCs/>
          <w:szCs w:val="22"/>
        </w:rPr>
        <w:t xml:space="preserve">Correction of </w:t>
      </w:r>
      <w:r w:rsidR="00205C4E" w:rsidRPr="00771904">
        <w:rPr>
          <w:rFonts w:eastAsia="Calibri" w:cs="Arial"/>
          <w:b/>
          <w:bCs/>
          <w:szCs w:val="22"/>
        </w:rPr>
        <w:t xml:space="preserve">FFY11 </w:t>
      </w:r>
      <w:r w:rsidR="00205C4E" w:rsidRPr="00771904">
        <w:rPr>
          <w:rFonts w:cs="Arial"/>
          <w:b/>
          <w:szCs w:val="22"/>
        </w:rPr>
        <w:t xml:space="preserve">(July 1, 2011-June 30, 2012) </w:t>
      </w:r>
      <w:r w:rsidRPr="00771904">
        <w:rPr>
          <w:rFonts w:eastAsia="Calibri" w:cs="Arial"/>
          <w:b/>
          <w:bCs/>
          <w:szCs w:val="22"/>
        </w:rPr>
        <w:t>Findings</w:t>
      </w:r>
      <w:r w:rsidR="00B87D81" w:rsidRPr="00771904">
        <w:rPr>
          <w:rFonts w:eastAsia="Calibri" w:cs="Arial"/>
          <w:b/>
          <w:bCs/>
          <w:szCs w:val="22"/>
        </w:rPr>
        <w:t xml:space="preserve"> of Noncompliance </w:t>
      </w:r>
      <w:r w:rsidR="00B87D81" w:rsidRPr="00771904">
        <w:rPr>
          <w:rFonts w:cs="Arial"/>
          <w:b/>
          <w:szCs w:val="22"/>
        </w:rPr>
        <w:t>(if State reported less than 100% compliance):</w:t>
      </w:r>
    </w:p>
    <w:p w:rsidR="00965ED8" w:rsidRPr="00771904" w:rsidRDefault="00965ED8" w:rsidP="00B87D81">
      <w:pPr>
        <w:rPr>
          <w:rFonts w:cs="Arial"/>
          <w:b/>
          <w:szCs w:val="22"/>
        </w:rPr>
      </w:pPr>
    </w:p>
    <w:p w:rsidR="001A35D1" w:rsidRPr="00771904" w:rsidRDefault="001A35D1" w:rsidP="001A35D1">
      <w:pPr>
        <w:rPr>
          <w:rFonts w:cs="Arial"/>
          <w:szCs w:val="22"/>
        </w:rPr>
      </w:pPr>
      <w:r w:rsidRPr="00771904">
        <w:rPr>
          <w:rFonts w:cs="Arial"/>
          <w:szCs w:val="22"/>
        </w:rPr>
        <w:t>Level of compliance (actual target data) State reported for ’1</w:t>
      </w:r>
      <w:r w:rsidR="00965ED8" w:rsidRPr="00771904">
        <w:rPr>
          <w:rFonts w:cs="Arial"/>
          <w:szCs w:val="22"/>
        </w:rPr>
        <w:t>1</w:t>
      </w:r>
      <w:r w:rsidRPr="00771904">
        <w:rPr>
          <w:rFonts w:cs="Arial"/>
          <w:szCs w:val="22"/>
        </w:rPr>
        <w:t>-’1</w:t>
      </w:r>
      <w:r w:rsidR="00965ED8" w:rsidRPr="00771904">
        <w:rPr>
          <w:rFonts w:cs="Arial"/>
          <w:szCs w:val="22"/>
        </w:rPr>
        <w:t>2</w:t>
      </w:r>
      <w:r w:rsidRPr="00771904">
        <w:rPr>
          <w:rFonts w:cs="Arial"/>
          <w:szCs w:val="22"/>
        </w:rPr>
        <w:t xml:space="preserve"> for this indicator:   _</w:t>
      </w:r>
      <w:r w:rsidRPr="00771904">
        <w:rPr>
          <w:rFonts w:cs="Arial"/>
          <w:szCs w:val="22"/>
          <w:u w:val="single"/>
        </w:rPr>
        <w:t>9</w:t>
      </w:r>
      <w:r w:rsidR="00205C4E" w:rsidRPr="00771904">
        <w:rPr>
          <w:rFonts w:cs="Arial"/>
          <w:szCs w:val="22"/>
          <w:u w:val="single"/>
        </w:rPr>
        <w:t>9</w:t>
      </w:r>
      <w:r w:rsidRPr="00771904">
        <w:rPr>
          <w:rFonts w:cs="Arial"/>
          <w:szCs w:val="22"/>
        </w:rPr>
        <w:t xml:space="preserve">_% </w:t>
      </w:r>
      <w:r w:rsidRPr="00771904">
        <w:rPr>
          <w:rFonts w:eastAsia="Calibri" w:cs="Arial"/>
          <w:b/>
          <w:bCs/>
          <w:szCs w:val="2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gridCol w:w="558"/>
      </w:tblGrid>
      <w:tr w:rsidR="001A35D1" w:rsidRPr="00771904" w:rsidTr="007E0F5A">
        <w:trPr>
          <w:trHeight w:val="485"/>
        </w:trPr>
        <w:tc>
          <w:tcPr>
            <w:tcW w:w="9000" w:type="dxa"/>
            <w:vAlign w:val="center"/>
          </w:tcPr>
          <w:p w:rsidR="001A35D1" w:rsidRPr="00771904" w:rsidRDefault="001A35D1" w:rsidP="007E0F5A">
            <w:pPr>
              <w:numPr>
                <w:ilvl w:val="0"/>
                <w:numId w:val="20"/>
              </w:numPr>
              <w:rPr>
                <w:rFonts w:cs="Arial"/>
                <w:bCs/>
                <w:szCs w:val="22"/>
              </w:rPr>
            </w:pPr>
            <w:r w:rsidRPr="00771904">
              <w:rPr>
                <w:rFonts w:eastAsia="Calibri" w:cs="Arial"/>
                <w:szCs w:val="22"/>
              </w:rPr>
              <w:t xml:space="preserve">Number of findings of noncompliance </w:t>
            </w:r>
            <w:r w:rsidR="00192829" w:rsidRPr="00771904">
              <w:rPr>
                <w:rFonts w:eastAsia="Calibri" w:cs="Arial"/>
                <w:szCs w:val="22"/>
              </w:rPr>
              <w:t>the State</w:t>
            </w:r>
            <w:r w:rsidRPr="00771904">
              <w:rPr>
                <w:rFonts w:eastAsia="Calibri" w:cs="Arial"/>
                <w:szCs w:val="22"/>
              </w:rPr>
              <w:t xml:space="preserve"> made during ‘1</w:t>
            </w:r>
            <w:r w:rsidR="00354E9E" w:rsidRPr="00771904">
              <w:rPr>
                <w:rFonts w:eastAsia="Calibri" w:cs="Arial"/>
                <w:szCs w:val="22"/>
              </w:rPr>
              <w:t>1</w:t>
            </w:r>
            <w:r w:rsidRPr="00771904">
              <w:rPr>
                <w:rFonts w:eastAsia="Calibri" w:cs="Arial"/>
                <w:szCs w:val="22"/>
              </w:rPr>
              <w:t>-‘1</w:t>
            </w:r>
            <w:r w:rsidR="00354E9E" w:rsidRPr="00771904">
              <w:rPr>
                <w:rFonts w:eastAsia="Calibri" w:cs="Arial"/>
                <w:szCs w:val="22"/>
              </w:rPr>
              <w:t>2</w:t>
            </w:r>
            <w:r w:rsidRPr="00771904">
              <w:rPr>
                <w:rFonts w:eastAsia="Calibri" w:cs="Arial"/>
                <w:szCs w:val="22"/>
              </w:rPr>
              <w:t xml:space="preserve"> (the period from July 1, 201</w:t>
            </w:r>
            <w:r w:rsidR="00354E9E" w:rsidRPr="00771904">
              <w:rPr>
                <w:rFonts w:eastAsia="Calibri" w:cs="Arial"/>
                <w:szCs w:val="22"/>
              </w:rPr>
              <w:t>1</w:t>
            </w:r>
            <w:r w:rsidRPr="00771904">
              <w:rPr>
                <w:rFonts w:eastAsia="Calibri" w:cs="Arial"/>
                <w:szCs w:val="22"/>
              </w:rPr>
              <w:t>, through June 30, 201</w:t>
            </w:r>
            <w:r w:rsidR="00354E9E" w:rsidRPr="00771904">
              <w:rPr>
                <w:rFonts w:eastAsia="Calibri" w:cs="Arial"/>
                <w:szCs w:val="22"/>
              </w:rPr>
              <w:t>2</w:t>
            </w:r>
            <w:r w:rsidRPr="00771904">
              <w:rPr>
                <w:rFonts w:eastAsia="Calibri" w:cs="Arial"/>
                <w:szCs w:val="22"/>
              </w:rPr>
              <w:t xml:space="preserve">)   </w:t>
            </w:r>
          </w:p>
        </w:tc>
        <w:tc>
          <w:tcPr>
            <w:tcW w:w="558" w:type="dxa"/>
            <w:vAlign w:val="center"/>
          </w:tcPr>
          <w:p w:rsidR="001A35D1" w:rsidRPr="00771904" w:rsidRDefault="00C1538C" w:rsidP="001560E5">
            <w:pPr>
              <w:jc w:val="center"/>
              <w:rPr>
                <w:rFonts w:eastAsia="Calibri" w:cs="Arial"/>
                <w:b/>
                <w:bCs/>
                <w:szCs w:val="22"/>
              </w:rPr>
            </w:pPr>
            <w:r w:rsidRPr="00771904">
              <w:rPr>
                <w:rFonts w:eastAsia="Calibri" w:cs="Arial"/>
                <w:b/>
                <w:bCs/>
                <w:szCs w:val="22"/>
              </w:rPr>
              <w:t>5</w:t>
            </w:r>
          </w:p>
        </w:tc>
      </w:tr>
      <w:tr w:rsidR="001A35D1" w:rsidRPr="00771904" w:rsidTr="007E0F5A">
        <w:trPr>
          <w:trHeight w:val="395"/>
        </w:trPr>
        <w:tc>
          <w:tcPr>
            <w:tcW w:w="9000" w:type="dxa"/>
            <w:vAlign w:val="center"/>
          </w:tcPr>
          <w:p w:rsidR="001A35D1" w:rsidRPr="00771904" w:rsidRDefault="001A35D1" w:rsidP="007E0F5A">
            <w:pPr>
              <w:numPr>
                <w:ilvl w:val="0"/>
                <w:numId w:val="20"/>
              </w:numPr>
              <w:rPr>
                <w:rFonts w:cs="Arial"/>
                <w:bCs/>
                <w:szCs w:val="22"/>
              </w:rPr>
            </w:pPr>
            <w:r w:rsidRPr="00771904">
              <w:rPr>
                <w:rFonts w:eastAsia="Calibri" w:cs="Arial"/>
                <w:szCs w:val="22"/>
              </w:rPr>
              <w:t xml:space="preserve">Number of </w:t>
            </w:r>
            <w:r w:rsidR="00354E9E" w:rsidRPr="00771904">
              <w:rPr>
                <w:rFonts w:eastAsia="Calibri" w:cs="Arial"/>
                <w:szCs w:val="22"/>
              </w:rPr>
              <w:t>‘11-’12</w:t>
            </w:r>
            <w:r w:rsidRPr="00771904">
              <w:rPr>
                <w:rFonts w:eastAsia="Calibri" w:cs="Arial"/>
                <w:szCs w:val="22"/>
              </w:rPr>
              <w:t xml:space="preserve"> findings </w:t>
            </w:r>
            <w:r w:rsidR="00192829" w:rsidRPr="00771904">
              <w:rPr>
                <w:rFonts w:eastAsia="Calibri" w:cs="Arial"/>
                <w:szCs w:val="22"/>
              </w:rPr>
              <w:t>the State</w:t>
            </w:r>
            <w:r w:rsidRPr="00771904">
              <w:rPr>
                <w:rFonts w:eastAsia="Calibri" w:cs="Arial"/>
                <w:szCs w:val="22"/>
              </w:rPr>
              <w:t xml:space="preserve"> verified as timely corrected (corrected within one year from the date of notification to the EIS program of the finding)   </w:t>
            </w:r>
          </w:p>
        </w:tc>
        <w:tc>
          <w:tcPr>
            <w:tcW w:w="558" w:type="dxa"/>
            <w:tcBorders>
              <w:bottom w:val="single" w:sz="4" w:space="0" w:color="000000"/>
            </w:tcBorders>
            <w:vAlign w:val="center"/>
          </w:tcPr>
          <w:p w:rsidR="001A35D1" w:rsidRPr="00771904" w:rsidRDefault="00C1538C" w:rsidP="001560E5">
            <w:pPr>
              <w:jc w:val="center"/>
              <w:rPr>
                <w:rFonts w:eastAsia="Calibri" w:cs="Arial"/>
                <w:b/>
                <w:bCs/>
                <w:szCs w:val="22"/>
              </w:rPr>
            </w:pPr>
            <w:r w:rsidRPr="00771904">
              <w:rPr>
                <w:rFonts w:eastAsia="Calibri" w:cs="Arial"/>
                <w:b/>
                <w:bCs/>
                <w:szCs w:val="22"/>
              </w:rPr>
              <w:t>5</w:t>
            </w:r>
          </w:p>
        </w:tc>
      </w:tr>
      <w:tr w:rsidR="00965ED8" w:rsidRPr="00771904" w:rsidTr="007E0F5A">
        <w:tc>
          <w:tcPr>
            <w:tcW w:w="9000" w:type="dxa"/>
            <w:tcBorders>
              <w:bottom w:val="single" w:sz="4" w:space="0" w:color="000000"/>
            </w:tcBorders>
            <w:vAlign w:val="center"/>
          </w:tcPr>
          <w:p w:rsidR="001A35D1" w:rsidRPr="00771904" w:rsidRDefault="001A35D1" w:rsidP="007E0F5A">
            <w:pPr>
              <w:numPr>
                <w:ilvl w:val="0"/>
                <w:numId w:val="20"/>
              </w:numPr>
              <w:spacing w:after="120"/>
              <w:rPr>
                <w:rFonts w:eastAsia="Calibri" w:cs="Arial"/>
                <w:bCs/>
                <w:szCs w:val="22"/>
              </w:rPr>
            </w:pPr>
            <w:r w:rsidRPr="00771904">
              <w:rPr>
                <w:rFonts w:eastAsia="Calibri" w:cs="Arial"/>
                <w:szCs w:val="22"/>
              </w:rPr>
              <w:t xml:space="preserve">Number of </w:t>
            </w:r>
            <w:r w:rsidR="00354E9E" w:rsidRPr="00771904">
              <w:rPr>
                <w:rFonts w:eastAsia="Calibri" w:cs="Arial"/>
                <w:szCs w:val="22"/>
              </w:rPr>
              <w:t>‘11-‘12</w:t>
            </w:r>
            <w:r w:rsidRPr="00771904">
              <w:rPr>
                <w:rFonts w:eastAsia="Calibri" w:cs="Arial"/>
                <w:szCs w:val="22"/>
              </w:rPr>
              <w:t xml:space="preserve"> findings </w:t>
            </w:r>
            <w:r w:rsidRPr="00771904">
              <w:rPr>
                <w:rFonts w:eastAsia="Calibri" w:cs="Arial"/>
                <w:szCs w:val="22"/>
                <w:u w:val="single"/>
              </w:rPr>
              <w:t>not</w:t>
            </w:r>
            <w:r w:rsidRPr="00771904">
              <w:rPr>
                <w:rFonts w:eastAsia="Calibri" w:cs="Arial"/>
                <w:szCs w:val="22"/>
              </w:rPr>
              <w:t xml:space="preserve"> verified as corrected within one year [(1) minus (2)]</w:t>
            </w:r>
          </w:p>
        </w:tc>
        <w:tc>
          <w:tcPr>
            <w:tcW w:w="558" w:type="dxa"/>
            <w:tcBorders>
              <w:bottom w:val="single" w:sz="4" w:space="0" w:color="000000"/>
            </w:tcBorders>
            <w:shd w:val="clear" w:color="auto" w:fill="A6A6A6"/>
            <w:vAlign w:val="center"/>
          </w:tcPr>
          <w:p w:rsidR="001A35D1" w:rsidRPr="00771904" w:rsidRDefault="001A35D1" w:rsidP="001560E5">
            <w:pPr>
              <w:jc w:val="center"/>
              <w:rPr>
                <w:rFonts w:eastAsia="Calibri" w:cs="Arial"/>
                <w:b/>
                <w:bCs/>
                <w:szCs w:val="22"/>
              </w:rPr>
            </w:pPr>
            <w:r w:rsidRPr="00771904">
              <w:rPr>
                <w:rFonts w:cs="Arial"/>
                <w:b/>
                <w:bCs/>
                <w:szCs w:val="22"/>
              </w:rPr>
              <w:fldChar w:fldCharType="begin"/>
            </w:r>
            <w:r w:rsidRPr="00771904">
              <w:rPr>
                <w:rFonts w:cs="Arial"/>
                <w:b/>
                <w:bCs/>
                <w:szCs w:val="22"/>
              </w:rPr>
              <w:instrText xml:space="preserve"> =B1-B2 \# "#,##0" </w:instrText>
            </w:r>
            <w:r w:rsidRPr="00771904">
              <w:rPr>
                <w:rFonts w:cs="Arial"/>
                <w:b/>
                <w:bCs/>
                <w:szCs w:val="22"/>
              </w:rPr>
              <w:fldChar w:fldCharType="separate"/>
            </w:r>
            <w:r w:rsidRPr="00771904">
              <w:rPr>
                <w:rFonts w:cs="Arial"/>
                <w:b/>
                <w:bCs/>
                <w:noProof/>
                <w:szCs w:val="22"/>
              </w:rPr>
              <w:t>0</w:t>
            </w:r>
            <w:r w:rsidRPr="00771904">
              <w:rPr>
                <w:rFonts w:cs="Arial"/>
                <w:b/>
                <w:bCs/>
                <w:szCs w:val="22"/>
              </w:rPr>
              <w:fldChar w:fldCharType="end"/>
            </w:r>
          </w:p>
        </w:tc>
      </w:tr>
    </w:tbl>
    <w:p w:rsidR="00C47124" w:rsidRPr="00771904" w:rsidRDefault="00C47124" w:rsidP="00BD49ED">
      <w:pPr>
        <w:rPr>
          <w:rFonts w:cs="Arial"/>
          <w:b/>
          <w:szCs w:val="22"/>
        </w:rPr>
      </w:pPr>
    </w:p>
    <w:p w:rsidR="00BD49ED" w:rsidRPr="00771904" w:rsidRDefault="00BD49ED" w:rsidP="00BD49ED">
      <w:pPr>
        <w:rPr>
          <w:rFonts w:cs="Arial"/>
          <w:b/>
          <w:szCs w:val="22"/>
        </w:rPr>
      </w:pPr>
      <w:r w:rsidRPr="00771904">
        <w:rPr>
          <w:rFonts w:cs="Arial"/>
          <w:b/>
          <w:szCs w:val="22"/>
        </w:rPr>
        <w:lastRenderedPageBreak/>
        <w:t xml:space="preserve">Verification of Correction of </w:t>
      </w:r>
      <w:r w:rsidR="00205C4E" w:rsidRPr="00771904">
        <w:rPr>
          <w:rFonts w:cs="Arial"/>
          <w:b/>
          <w:szCs w:val="22"/>
        </w:rPr>
        <w:t>FFY</w:t>
      </w:r>
      <w:r w:rsidRPr="00771904">
        <w:rPr>
          <w:rFonts w:eastAsia="Calibri" w:cs="Arial"/>
          <w:b/>
          <w:bCs/>
          <w:szCs w:val="22"/>
        </w:rPr>
        <w:t>11</w:t>
      </w:r>
      <w:r w:rsidR="003B4415" w:rsidRPr="00771904">
        <w:rPr>
          <w:rFonts w:eastAsia="Calibri" w:cs="Arial"/>
          <w:b/>
          <w:bCs/>
          <w:szCs w:val="22"/>
        </w:rPr>
        <w:t xml:space="preserve"> </w:t>
      </w:r>
      <w:r w:rsidR="00205C4E" w:rsidRPr="00771904">
        <w:rPr>
          <w:rFonts w:cs="Arial"/>
          <w:b/>
          <w:szCs w:val="22"/>
        </w:rPr>
        <w:t>(July 1, 2011-June 30, 2012</w:t>
      </w:r>
      <w:proofErr w:type="gramStart"/>
      <w:r w:rsidR="00205C4E" w:rsidRPr="00771904">
        <w:rPr>
          <w:rFonts w:cs="Arial"/>
          <w:b/>
          <w:szCs w:val="22"/>
        </w:rPr>
        <w:t xml:space="preserve">) </w:t>
      </w:r>
      <w:r w:rsidRPr="00771904">
        <w:rPr>
          <w:rFonts w:eastAsia="Calibri" w:cs="Arial"/>
          <w:bCs/>
          <w:szCs w:val="22"/>
        </w:rPr>
        <w:t xml:space="preserve"> </w:t>
      </w:r>
      <w:r w:rsidRPr="00771904">
        <w:rPr>
          <w:rFonts w:cs="Arial"/>
          <w:b/>
          <w:szCs w:val="22"/>
        </w:rPr>
        <w:t>findings</w:t>
      </w:r>
      <w:proofErr w:type="gramEnd"/>
      <w:r w:rsidRPr="00771904">
        <w:rPr>
          <w:rFonts w:cs="Arial"/>
          <w:b/>
          <w:szCs w:val="22"/>
        </w:rPr>
        <w:t xml:space="preserve"> (either timely or subsequent):</w:t>
      </w:r>
    </w:p>
    <w:p w:rsidR="00BD49ED" w:rsidRPr="00771904" w:rsidRDefault="00BD49ED" w:rsidP="00BD49ED">
      <w:pPr>
        <w:rPr>
          <w:rFonts w:cs="Arial"/>
          <w:szCs w:val="22"/>
        </w:rPr>
      </w:pPr>
    </w:p>
    <w:p w:rsidR="00BD49ED" w:rsidRPr="00771904" w:rsidRDefault="00192829" w:rsidP="00BD49ED">
      <w:pPr>
        <w:rPr>
          <w:rFonts w:cs="Arial"/>
          <w:szCs w:val="22"/>
        </w:rPr>
      </w:pPr>
      <w:r w:rsidRPr="00771904">
        <w:rPr>
          <w:rFonts w:cs="Arial"/>
          <w:szCs w:val="22"/>
        </w:rPr>
        <w:t>The State</w:t>
      </w:r>
      <w:r w:rsidR="00BD49ED" w:rsidRPr="00771904">
        <w:rPr>
          <w:rFonts w:cs="Arial"/>
          <w:szCs w:val="22"/>
        </w:rPr>
        <w:t xml:space="preserve"> verified the timely correction for </w:t>
      </w:r>
      <w:r w:rsidR="000713C9" w:rsidRPr="00771904">
        <w:rPr>
          <w:rFonts w:cs="Arial"/>
          <w:szCs w:val="22"/>
        </w:rPr>
        <w:t>each of the five</w:t>
      </w:r>
      <w:r w:rsidR="00BD49ED" w:rsidRPr="00771904">
        <w:rPr>
          <w:rFonts w:cs="Arial"/>
          <w:szCs w:val="22"/>
        </w:rPr>
        <w:t xml:space="preserve"> programs wit</w:t>
      </w:r>
      <w:r w:rsidR="00CB08E2" w:rsidRPr="00771904">
        <w:rPr>
          <w:rFonts w:cs="Arial"/>
          <w:szCs w:val="22"/>
        </w:rPr>
        <w:t xml:space="preserve">h </w:t>
      </w:r>
      <w:r w:rsidR="00D424A2" w:rsidRPr="00771904">
        <w:rPr>
          <w:rFonts w:cs="Arial"/>
          <w:szCs w:val="22"/>
        </w:rPr>
        <w:t xml:space="preserve">a </w:t>
      </w:r>
      <w:r w:rsidR="00CB08E2" w:rsidRPr="00771904">
        <w:rPr>
          <w:rFonts w:cs="Arial"/>
          <w:szCs w:val="22"/>
        </w:rPr>
        <w:t xml:space="preserve">late transition conference </w:t>
      </w:r>
      <w:r w:rsidR="00BD49ED" w:rsidRPr="00771904">
        <w:rPr>
          <w:rFonts w:cs="Arial"/>
          <w:szCs w:val="22"/>
        </w:rPr>
        <w:t xml:space="preserve">finding identified in October 2011. </w:t>
      </w:r>
    </w:p>
    <w:p w:rsidR="00BD49ED" w:rsidRPr="00771904" w:rsidRDefault="00BD49ED" w:rsidP="00BD49ED">
      <w:pPr>
        <w:rPr>
          <w:rFonts w:cs="Arial"/>
          <w:szCs w:val="22"/>
        </w:rPr>
      </w:pPr>
    </w:p>
    <w:p w:rsidR="00BD49ED" w:rsidRPr="00771904" w:rsidRDefault="00BD49ED" w:rsidP="00BD49ED">
      <w:pPr>
        <w:rPr>
          <w:rFonts w:cs="Arial"/>
          <w:b/>
          <w:szCs w:val="22"/>
        </w:rPr>
      </w:pPr>
      <w:r w:rsidRPr="00771904">
        <w:rPr>
          <w:rFonts w:cs="Arial"/>
          <w:b/>
          <w:szCs w:val="22"/>
        </w:rPr>
        <w:t xml:space="preserve">Describe the specific actions that </w:t>
      </w:r>
      <w:r w:rsidR="00192829" w:rsidRPr="00771904">
        <w:rPr>
          <w:rFonts w:cs="Arial"/>
          <w:b/>
          <w:szCs w:val="22"/>
        </w:rPr>
        <w:t>the State</w:t>
      </w:r>
      <w:r w:rsidRPr="00771904">
        <w:rPr>
          <w:rFonts w:cs="Arial"/>
          <w:b/>
          <w:szCs w:val="22"/>
        </w:rPr>
        <w:t xml:space="preserve"> took to verify the correction of findings of noncompliance identified in the </w:t>
      </w:r>
      <w:r w:rsidRPr="00771904">
        <w:rPr>
          <w:rFonts w:eastAsia="Calibri" w:cs="Arial"/>
          <w:b/>
          <w:szCs w:val="22"/>
        </w:rPr>
        <w:t>‘11-‘12 year</w:t>
      </w:r>
      <w:r w:rsidRPr="00771904">
        <w:rPr>
          <w:rFonts w:cs="Arial"/>
          <w:b/>
          <w:szCs w:val="22"/>
        </w:rPr>
        <w:t>:</w:t>
      </w:r>
    </w:p>
    <w:p w:rsidR="00BD49ED" w:rsidRPr="00771904" w:rsidRDefault="00BD49ED" w:rsidP="00BD49ED">
      <w:pPr>
        <w:ind w:left="720"/>
        <w:rPr>
          <w:rFonts w:cs="Arial"/>
          <w:szCs w:val="22"/>
        </w:rPr>
      </w:pPr>
    </w:p>
    <w:p w:rsidR="00BD49ED" w:rsidRPr="00771904" w:rsidRDefault="00192829" w:rsidP="00BD49ED">
      <w:pPr>
        <w:pStyle w:val="StyleLeft025"/>
        <w:ind w:left="0" w:right="720"/>
        <w:rPr>
          <w:rFonts w:cs="Arial"/>
          <w:szCs w:val="22"/>
        </w:rPr>
      </w:pPr>
      <w:r w:rsidRPr="00771904">
        <w:rPr>
          <w:rFonts w:cs="Arial"/>
          <w:color w:val="000000"/>
          <w:szCs w:val="22"/>
        </w:rPr>
        <w:t>The State</w:t>
      </w:r>
      <w:r w:rsidR="006D38BF" w:rsidRPr="00771904">
        <w:rPr>
          <w:rFonts w:cs="Arial"/>
          <w:color w:val="000000"/>
          <w:szCs w:val="22"/>
        </w:rPr>
        <w:t xml:space="preserve"> verified the correction of all child-specific and systemic noncompliance using </w:t>
      </w:r>
      <w:r w:rsidR="00BD49ED" w:rsidRPr="00771904">
        <w:rPr>
          <w:rFonts w:cs="Arial"/>
          <w:szCs w:val="22"/>
        </w:rPr>
        <w:t xml:space="preserve">onsite verification visits, reports from </w:t>
      </w:r>
      <w:r w:rsidRPr="00771904">
        <w:rPr>
          <w:rFonts w:cs="Arial"/>
          <w:szCs w:val="22"/>
        </w:rPr>
        <w:t>the statewide</w:t>
      </w:r>
      <w:r w:rsidR="00BD49ED" w:rsidRPr="00771904">
        <w:rPr>
          <w:rFonts w:cs="Arial"/>
          <w:szCs w:val="22"/>
        </w:rPr>
        <w:t xml:space="preserve"> database, emails with providers, and the secure faxing of backup documentation from the </w:t>
      </w:r>
      <w:r w:rsidR="00BD49ED" w:rsidRPr="00771904">
        <w:rPr>
          <w:rFonts w:cs="Arial"/>
        </w:rPr>
        <w:t>early intervention</w:t>
      </w:r>
      <w:r w:rsidR="00BD49ED" w:rsidRPr="00771904">
        <w:rPr>
          <w:rFonts w:cs="Arial"/>
          <w:szCs w:val="22"/>
        </w:rPr>
        <w:t xml:space="preserve"> record at the local program.  In the </w:t>
      </w:r>
      <w:r w:rsidR="00BD49ED" w:rsidRPr="00771904">
        <w:rPr>
          <w:rFonts w:eastAsia="Calibri" w:cs="Arial"/>
          <w:szCs w:val="22"/>
        </w:rPr>
        <w:t xml:space="preserve">‘11-’12 </w:t>
      </w:r>
      <w:r w:rsidR="00BD49ED" w:rsidRPr="00771904">
        <w:rPr>
          <w:rFonts w:cs="Arial"/>
          <w:szCs w:val="22"/>
        </w:rPr>
        <w:t xml:space="preserve">APR, Connecticut accounted for all instances of noncompliance with the timely transition conferences identified through the review of data from </w:t>
      </w:r>
      <w:r w:rsidRPr="00771904">
        <w:rPr>
          <w:rFonts w:cs="Arial"/>
          <w:szCs w:val="22"/>
        </w:rPr>
        <w:t>the statewide</w:t>
      </w:r>
      <w:r w:rsidR="00BD49ED" w:rsidRPr="00771904">
        <w:rPr>
          <w:rFonts w:cs="Arial"/>
          <w:szCs w:val="22"/>
        </w:rPr>
        <w:t xml:space="preserve"> database and other monitoring procedures.  As required, Connecticut identified each of the programs with noncompliance and notified them of the measure, the statutory reference, the raw scores, and the percent</w:t>
      </w:r>
      <w:r w:rsidR="003263BE" w:rsidRPr="00771904">
        <w:rPr>
          <w:rFonts w:cs="Arial"/>
          <w:szCs w:val="22"/>
        </w:rPr>
        <w:t xml:space="preserve"> </w:t>
      </w:r>
      <w:r w:rsidR="00D424A2" w:rsidRPr="00771904">
        <w:rPr>
          <w:rFonts w:cs="Arial"/>
          <w:szCs w:val="22"/>
        </w:rPr>
        <w:t>of conferences held on time</w:t>
      </w:r>
      <w:r w:rsidR="00BD49ED" w:rsidRPr="00771904">
        <w:rPr>
          <w:rFonts w:cs="Arial"/>
          <w:szCs w:val="22"/>
        </w:rPr>
        <w:t>.  Programs were required to determine the root cause of the noncompliance and revise policies, procedures and practices that resulted in noncompliance</w:t>
      </w:r>
      <w:r w:rsidR="003263BE" w:rsidRPr="00771904">
        <w:rPr>
          <w:rFonts w:cs="Arial"/>
          <w:szCs w:val="22"/>
        </w:rPr>
        <w:t>,</w:t>
      </w:r>
      <w:r w:rsidR="00BD49ED" w:rsidRPr="00771904">
        <w:rPr>
          <w:rFonts w:cs="Arial"/>
          <w:szCs w:val="22"/>
        </w:rPr>
        <w:t xml:space="preserve"> as appropriate.  Once correction was reported, at least three months of subsequent data were reviewed that demonstrated 100% compliance with the timely transition conferences requirements.  </w:t>
      </w:r>
    </w:p>
    <w:p w:rsidR="00BD49ED" w:rsidRPr="00771904" w:rsidRDefault="00BD49ED" w:rsidP="00BD49ED">
      <w:pPr>
        <w:ind w:left="720"/>
        <w:rPr>
          <w:rFonts w:cs="Arial"/>
          <w:szCs w:val="22"/>
        </w:rPr>
      </w:pPr>
    </w:p>
    <w:p w:rsidR="00BD49ED" w:rsidRPr="00771904" w:rsidRDefault="00BD49ED" w:rsidP="00BD49ED">
      <w:pPr>
        <w:pStyle w:val="StyleLeft025"/>
        <w:ind w:left="0" w:right="720"/>
        <w:rPr>
          <w:rFonts w:cs="Arial"/>
          <w:szCs w:val="22"/>
        </w:rPr>
      </w:pPr>
      <w:r w:rsidRPr="00771904">
        <w:rPr>
          <w:rFonts w:cs="Arial"/>
          <w:szCs w:val="22"/>
        </w:rPr>
        <w:t xml:space="preserve">Through this combination of efforts, the lead agency verified that </w:t>
      </w:r>
    </w:p>
    <w:p w:rsidR="00BD49ED" w:rsidRPr="00771904" w:rsidRDefault="00BD49ED" w:rsidP="00BD49ED">
      <w:pPr>
        <w:pStyle w:val="StyleLeft025"/>
        <w:numPr>
          <w:ilvl w:val="0"/>
          <w:numId w:val="30"/>
        </w:numPr>
        <w:ind w:right="720"/>
        <w:rPr>
          <w:rFonts w:cs="Arial"/>
          <w:szCs w:val="22"/>
        </w:rPr>
      </w:pPr>
      <w:r w:rsidRPr="00771904">
        <w:rPr>
          <w:rFonts w:cs="Arial"/>
          <w:szCs w:val="22"/>
        </w:rPr>
        <w:t>each program with noncompliance identified in ’11-‘12 has held a transition conference although late, for any family whose conference was not held in a timely manner, unless the child was no longer within the jurisdiction of the Birth to Three program</w:t>
      </w:r>
      <w:r w:rsidR="001509F9" w:rsidRPr="00771904">
        <w:rPr>
          <w:rFonts w:cs="Arial"/>
          <w:szCs w:val="22"/>
        </w:rPr>
        <w:t>,</w:t>
      </w:r>
      <w:r w:rsidRPr="00771904">
        <w:rPr>
          <w:rFonts w:cs="Arial"/>
          <w:szCs w:val="22"/>
        </w:rPr>
        <w:t xml:space="preserve"> and </w:t>
      </w:r>
    </w:p>
    <w:p w:rsidR="00BD49ED" w:rsidRPr="00771904" w:rsidRDefault="00BD49ED" w:rsidP="00BD49ED">
      <w:pPr>
        <w:pStyle w:val="StyleLeft025"/>
        <w:numPr>
          <w:ilvl w:val="0"/>
          <w:numId w:val="30"/>
        </w:numPr>
        <w:ind w:right="720"/>
        <w:rPr>
          <w:rFonts w:cs="Arial"/>
          <w:szCs w:val="22"/>
        </w:rPr>
      </w:pPr>
      <w:proofErr w:type="gramStart"/>
      <w:r w:rsidRPr="00771904">
        <w:rPr>
          <w:rFonts w:cs="Arial"/>
          <w:szCs w:val="22"/>
        </w:rPr>
        <w:t>each</w:t>
      </w:r>
      <w:proofErr w:type="gramEnd"/>
      <w:r w:rsidRPr="00771904">
        <w:rPr>
          <w:rFonts w:cs="Arial"/>
          <w:szCs w:val="22"/>
        </w:rPr>
        <w:t xml:space="preserve"> program was correctly implementing the regulatory requirements, based on a review of subsequent data, consistent with OSEP Memorandum 09-02.  </w:t>
      </w:r>
    </w:p>
    <w:p w:rsidR="00BD49ED" w:rsidRPr="00771904" w:rsidRDefault="00BD49ED" w:rsidP="00B87D81">
      <w:pPr>
        <w:rPr>
          <w:rFonts w:cs="Arial"/>
          <w:szCs w:val="22"/>
        </w:rPr>
      </w:pPr>
    </w:p>
    <w:p w:rsidR="00B87D81" w:rsidRPr="00771904" w:rsidRDefault="00B87D81" w:rsidP="00B87D81">
      <w:pPr>
        <w:rPr>
          <w:rFonts w:cs="Arial"/>
          <w:b/>
          <w:bCs/>
          <w:szCs w:val="22"/>
        </w:rPr>
      </w:pPr>
      <w:r w:rsidRPr="00771904">
        <w:rPr>
          <w:rFonts w:cs="Arial"/>
          <w:b/>
          <w:bCs/>
          <w:szCs w:val="22"/>
        </w:rPr>
        <w:t xml:space="preserve">Additional Information </w:t>
      </w:r>
      <w:proofErr w:type="gramStart"/>
      <w:r w:rsidRPr="00771904">
        <w:rPr>
          <w:rFonts w:cs="Arial"/>
          <w:b/>
          <w:bCs/>
          <w:szCs w:val="22"/>
        </w:rPr>
        <w:t>Required</w:t>
      </w:r>
      <w:proofErr w:type="gramEnd"/>
      <w:r w:rsidRPr="00771904">
        <w:rPr>
          <w:rFonts w:cs="Arial"/>
          <w:b/>
          <w:bCs/>
          <w:szCs w:val="22"/>
        </w:rPr>
        <w:t xml:space="preserve"> by the OSEP APR Response Table for this Indicator (if applicable):</w:t>
      </w:r>
    </w:p>
    <w:p w:rsidR="00B87D81" w:rsidRPr="00771904" w:rsidRDefault="00B87D81" w:rsidP="00B87D81">
      <w:pPr>
        <w:ind w:firstLine="360"/>
        <w:rPr>
          <w:rFonts w:cs="Arial"/>
          <w:b/>
          <w:bCs/>
          <w:sz w:val="8"/>
          <w:szCs w:val="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876"/>
      </w:tblGrid>
      <w:tr w:rsidR="00B87D81" w:rsidRPr="00771904" w:rsidTr="00625B0E">
        <w:tc>
          <w:tcPr>
            <w:tcW w:w="4772" w:type="dxa"/>
          </w:tcPr>
          <w:p w:rsidR="00B87D81" w:rsidRPr="00771904" w:rsidRDefault="00B87D81" w:rsidP="003F1B42">
            <w:pPr>
              <w:jc w:val="center"/>
              <w:rPr>
                <w:rFonts w:cs="Arial"/>
                <w:b/>
                <w:szCs w:val="22"/>
              </w:rPr>
            </w:pPr>
            <w:r w:rsidRPr="00771904">
              <w:rPr>
                <w:rFonts w:cs="Arial"/>
                <w:b/>
                <w:bCs/>
                <w:szCs w:val="22"/>
              </w:rPr>
              <w:t>Statement from the Response Table</w:t>
            </w:r>
          </w:p>
        </w:tc>
        <w:tc>
          <w:tcPr>
            <w:tcW w:w="4876" w:type="dxa"/>
          </w:tcPr>
          <w:p w:rsidR="00B87D81" w:rsidRPr="00771904" w:rsidRDefault="00B87D81" w:rsidP="003F1B42">
            <w:pPr>
              <w:jc w:val="center"/>
              <w:rPr>
                <w:rFonts w:cs="Arial"/>
                <w:b/>
                <w:szCs w:val="22"/>
              </w:rPr>
            </w:pPr>
            <w:r w:rsidRPr="00771904">
              <w:rPr>
                <w:rFonts w:cs="Arial"/>
                <w:b/>
                <w:bCs/>
                <w:szCs w:val="22"/>
              </w:rPr>
              <w:t>State’s Response</w:t>
            </w:r>
          </w:p>
        </w:tc>
      </w:tr>
      <w:tr w:rsidR="00947304" w:rsidRPr="00771904" w:rsidTr="00236ABD">
        <w:trPr>
          <w:trHeight w:val="1754"/>
        </w:trPr>
        <w:tc>
          <w:tcPr>
            <w:tcW w:w="4772" w:type="dxa"/>
            <w:vAlign w:val="center"/>
          </w:tcPr>
          <w:p w:rsidR="00947304" w:rsidRPr="00771904" w:rsidRDefault="00947304" w:rsidP="003F1B42">
            <w:pPr>
              <w:autoSpaceDE w:val="0"/>
              <w:autoSpaceDN w:val="0"/>
              <w:adjustRightInd w:val="0"/>
              <w:rPr>
                <w:rFonts w:cs="Arial"/>
                <w:szCs w:val="22"/>
              </w:rPr>
            </w:pPr>
            <w:r w:rsidRPr="00771904">
              <w:rPr>
                <w:rFonts w:cs="Arial"/>
                <w:szCs w:val="22"/>
              </w:rPr>
              <w:t xml:space="preserve">“If </w:t>
            </w:r>
            <w:r w:rsidR="00192829" w:rsidRPr="00771904">
              <w:rPr>
                <w:rFonts w:cs="Arial"/>
                <w:szCs w:val="22"/>
              </w:rPr>
              <w:t>the State</w:t>
            </w:r>
            <w:r w:rsidRPr="00771904">
              <w:rPr>
                <w:rFonts w:cs="Arial"/>
                <w:szCs w:val="22"/>
              </w:rPr>
              <w:t xml:space="preserve"> does not report 100% compliance in the </w:t>
            </w:r>
            <w:r w:rsidR="00EF39D4" w:rsidRPr="00771904">
              <w:rPr>
                <w:rFonts w:cs="Arial"/>
                <w:szCs w:val="22"/>
              </w:rPr>
              <w:t>FFY 2012</w:t>
            </w:r>
            <w:r w:rsidRPr="00771904">
              <w:rPr>
                <w:rFonts w:cs="Arial"/>
                <w:szCs w:val="22"/>
              </w:rPr>
              <w:t xml:space="preserve"> APR, </w:t>
            </w:r>
            <w:r w:rsidR="00192829" w:rsidRPr="00771904">
              <w:rPr>
                <w:rFonts w:cs="Arial"/>
                <w:szCs w:val="22"/>
              </w:rPr>
              <w:t>the State</w:t>
            </w:r>
            <w:r w:rsidRPr="00771904">
              <w:rPr>
                <w:rFonts w:cs="Arial"/>
                <w:szCs w:val="22"/>
              </w:rPr>
              <w:t xml:space="preserve"> must review its improvement activities and revise them, if necessary.”</w:t>
            </w:r>
          </w:p>
        </w:tc>
        <w:tc>
          <w:tcPr>
            <w:tcW w:w="4876" w:type="dxa"/>
            <w:vAlign w:val="center"/>
          </w:tcPr>
          <w:p w:rsidR="00947304" w:rsidRPr="00771904" w:rsidRDefault="00947304" w:rsidP="00236ABD">
            <w:pPr>
              <w:rPr>
                <w:rFonts w:cs="Arial"/>
                <w:szCs w:val="22"/>
                <w:highlight w:val="yellow"/>
              </w:rPr>
            </w:pPr>
            <w:r w:rsidRPr="00771904">
              <w:rPr>
                <w:rFonts w:cs="Arial"/>
                <w:szCs w:val="22"/>
              </w:rPr>
              <w:t>The lead agency found that the noncompliance during the ’</w:t>
            </w:r>
            <w:r w:rsidR="00236ABD" w:rsidRPr="00771904">
              <w:rPr>
                <w:rFonts w:cs="Arial"/>
                <w:szCs w:val="22"/>
              </w:rPr>
              <w:t>12-’13</w:t>
            </w:r>
            <w:r w:rsidRPr="00771904">
              <w:rPr>
                <w:rFonts w:cs="Arial"/>
                <w:szCs w:val="22"/>
              </w:rPr>
              <w:t xml:space="preserve"> year was very limited (</w:t>
            </w:r>
            <w:r w:rsidR="00236ABD" w:rsidRPr="00771904">
              <w:rPr>
                <w:rFonts w:cs="Arial"/>
                <w:szCs w:val="22"/>
              </w:rPr>
              <w:t>20</w:t>
            </w:r>
            <w:r w:rsidRPr="00771904">
              <w:rPr>
                <w:rFonts w:cs="Arial"/>
                <w:szCs w:val="22"/>
              </w:rPr>
              <w:t xml:space="preserve"> / </w:t>
            </w:r>
            <w:r w:rsidR="00236ABD" w:rsidRPr="00771904">
              <w:rPr>
                <w:rFonts w:cs="Arial"/>
                <w:szCs w:val="22"/>
              </w:rPr>
              <w:t>2544</w:t>
            </w:r>
            <w:r w:rsidRPr="00771904">
              <w:rPr>
                <w:rFonts w:cs="Arial"/>
                <w:szCs w:val="22"/>
              </w:rPr>
              <w:t xml:space="preserve">).  Most were due to the challenges faced when a child is referred within 135 days of age three.  The rest were often due to </w:t>
            </w:r>
            <w:r w:rsidR="00FC4A8D" w:rsidRPr="00771904">
              <w:rPr>
                <w:rFonts w:cs="Arial"/>
                <w:szCs w:val="22"/>
              </w:rPr>
              <w:t xml:space="preserve">individual errors </w:t>
            </w:r>
            <w:r w:rsidRPr="00771904">
              <w:rPr>
                <w:rFonts w:cs="Arial"/>
                <w:szCs w:val="22"/>
              </w:rPr>
              <w:t xml:space="preserve">as new </w:t>
            </w:r>
            <w:proofErr w:type="gramStart"/>
            <w:r w:rsidRPr="00771904">
              <w:rPr>
                <w:rFonts w:cs="Arial"/>
                <w:szCs w:val="22"/>
              </w:rPr>
              <w:t>staff learn</w:t>
            </w:r>
            <w:proofErr w:type="gramEnd"/>
            <w:r w:rsidRPr="00771904">
              <w:rPr>
                <w:rFonts w:cs="Arial"/>
                <w:szCs w:val="22"/>
              </w:rPr>
              <w:t xml:space="preserve"> the rules.  </w:t>
            </w:r>
          </w:p>
        </w:tc>
      </w:tr>
    </w:tbl>
    <w:p w:rsidR="003F1B42" w:rsidRPr="00771904" w:rsidRDefault="003F1B42" w:rsidP="003F1B42">
      <w:pPr>
        <w:rPr>
          <w:rFonts w:cs="Arial"/>
          <w:i/>
          <w:sz w:val="8"/>
          <w:szCs w:val="8"/>
        </w:rPr>
      </w:pPr>
    </w:p>
    <w:p w:rsidR="00B87D81" w:rsidRPr="00771904" w:rsidRDefault="00B87D81" w:rsidP="003F1B42">
      <w:pPr>
        <w:rPr>
          <w:rFonts w:cs="Arial"/>
          <w:b/>
          <w:iCs/>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w:t>
      </w:r>
      <w:r w:rsidR="005B1B42" w:rsidRPr="00771904">
        <w:rPr>
          <w:rFonts w:cs="Arial"/>
          <w:b/>
          <w:szCs w:val="22"/>
        </w:rPr>
        <w:t xml:space="preserve">FFY12 (July 1, 2012-June 30, 2013) </w:t>
      </w:r>
      <w:r w:rsidRPr="00771904">
        <w:rPr>
          <w:rFonts w:cs="Arial"/>
          <w:b/>
          <w:szCs w:val="22"/>
        </w:rPr>
        <w:t>(if applicable):</w:t>
      </w:r>
    </w:p>
    <w:p w:rsidR="009F578E" w:rsidRPr="00771904" w:rsidRDefault="009F578E" w:rsidP="00947304">
      <w:pPr>
        <w:rPr>
          <w:rFonts w:cs="Arial"/>
          <w:szCs w:val="22"/>
        </w:rPr>
      </w:pPr>
    </w:p>
    <w:p w:rsidR="00B937FA" w:rsidRPr="00771904" w:rsidRDefault="00BE35C2" w:rsidP="00947304">
      <w:pPr>
        <w:rPr>
          <w:rFonts w:cs="Arial"/>
          <w:szCs w:val="22"/>
        </w:rPr>
      </w:pPr>
      <w:r w:rsidRPr="00771904">
        <w:rPr>
          <w:rFonts w:cs="Arial"/>
          <w:szCs w:val="22"/>
        </w:rPr>
        <w:t>No revisions at this time</w:t>
      </w:r>
      <w:r w:rsidR="00947304" w:rsidRPr="00771904">
        <w:rPr>
          <w:rFonts w:cs="Arial"/>
          <w:szCs w:val="22"/>
        </w:rPr>
        <w:t xml:space="preserve">  </w:t>
      </w:r>
    </w:p>
    <w:p w:rsidR="006E74E4" w:rsidRPr="00771904" w:rsidRDefault="004B3507" w:rsidP="00163F09">
      <w:pPr>
        <w:pStyle w:val="StyleLeft025"/>
        <w:ind w:left="0"/>
        <w:rPr>
          <w:rFonts w:cs="Arial"/>
        </w:rPr>
      </w:pPr>
      <w:r w:rsidRPr="00771904">
        <w:rPr>
          <w:rFonts w:cs="Arial"/>
          <w:b/>
          <w:color w:val="000000"/>
          <w:szCs w:val="22"/>
        </w:rPr>
        <w:br w:type="page"/>
      </w:r>
      <w:r w:rsidR="006E74E4" w:rsidRPr="00771904">
        <w:rPr>
          <w:rFonts w:cs="Arial"/>
          <w:b/>
          <w:color w:val="000000"/>
          <w:szCs w:val="22"/>
        </w:rPr>
        <w:lastRenderedPageBreak/>
        <w:t xml:space="preserve">Part C State Annual Performance Report (APR) for </w:t>
      </w:r>
      <w:r w:rsidR="0068780F" w:rsidRPr="00771904">
        <w:rPr>
          <w:rFonts w:cs="Arial"/>
          <w:b/>
          <w:color w:val="000000"/>
          <w:szCs w:val="22"/>
        </w:rPr>
        <w:t xml:space="preserve">Federal </w:t>
      </w:r>
      <w:r w:rsidR="00BA69E5" w:rsidRPr="00771904">
        <w:rPr>
          <w:rFonts w:cs="Arial"/>
          <w:b/>
          <w:color w:val="000000"/>
          <w:szCs w:val="22"/>
        </w:rPr>
        <w:t xml:space="preserve">Fiscal </w:t>
      </w:r>
      <w:r w:rsidR="00C71124" w:rsidRPr="00771904">
        <w:rPr>
          <w:rFonts w:cs="Arial"/>
          <w:b/>
          <w:color w:val="000000"/>
          <w:szCs w:val="22"/>
        </w:rPr>
        <w:t xml:space="preserve">Year </w:t>
      </w:r>
      <w:r w:rsidR="00976EA6" w:rsidRPr="00771904">
        <w:rPr>
          <w:rFonts w:cs="Arial"/>
          <w:b/>
          <w:color w:val="000000"/>
          <w:szCs w:val="22"/>
        </w:rPr>
        <w:t>(FFY) 201</w:t>
      </w:r>
      <w:r w:rsidR="00205C4E" w:rsidRPr="00771904">
        <w:rPr>
          <w:rFonts w:cs="Arial"/>
          <w:b/>
          <w:color w:val="000000"/>
          <w:szCs w:val="22"/>
        </w:rPr>
        <w:t>2</w:t>
      </w:r>
    </w:p>
    <w:p w:rsidR="006E74E4" w:rsidRPr="00771904" w:rsidRDefault="006E74E4">
      <w:pPr>
        <w:spacing w:before="120" w:after="120"/>
        <w:rPr>
          <w:rFonts w:cs="Arial"/>
          <w:b/>
          <w:iCs/>
          <w:color w:val="000000"/>
          <w:szCs w:val="22"/>
        </w:rPr>
      </w:pPr>
      <w:r w:rsidRPr="00771904">
        <w:rPr>
          <w:rFonts w:cs="Arial"/>
          <w:b/>
          <w:iCs/>
          <w:color w:val="000000"/>
          <w:szCs w:val="22"/>
        </w:rPr>
        <w:t>Overview of the Annual Performance Report Development:</w:t>
      </w:r>
    </w:p>
    <w:p w:rsidR="008C12E1" w:rsidRPr="00771904" w:rsidRDefault="008C12E1" w:rsidP="008C12E1">
      <w:pPr>
        <w:spacing w:after="120"/>
        <w:rPr>
          <w:rFonts w:cs="Arial"/>
          <w:b/>
          <w:iCs/>
          <w:color w:val="000000"/>
          <w:szCs w:val="22"/>
        </w:rPr>
      </w:pPr>
      <w:r w:rsidRPr="00771904">
        <w:rPr>
          <w:rFonts w:cs="Arial"/>
          <w:color w:val="000000"/>
          <w:szCs w:val="22"/>
        </w:rPr>
        <w:t>Same process as described in Indicator #1.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E74E4" w:rsidRPr="00771904" w:rsidTr="009526D1">
        <w:tc>
          <w:tcPr>
            <w:tcW w:w="9576" w:type="dxa"/>
          </w:tcPr>
          <w:p w:rsidR="006E74E4" w:rsidRPr="00771904" w:rsidRDefault="006E74E4">
            <w:pPr>
              <w:spacing w:before="240" w:after="240"/>
              <w:ind w:left="1980" w:hanging="1980"/>
              <w:rPr>
                <w:rFonts w:cs="Arial"/>
                <w:b/>
                <w:color w:val="000000"/>
                <w:szCs w:val="22"/>
              </w:rPr>
            </w:pPr>
            <w:r w:rsidRPr="00771904">
              <w:rPr>
                <w:rFonts w:cs="Arial"/>
                <w:b/>
                <w:color w:val="000000"/>
                <w:szCs w:val="22"/>
              </w:rPr>
              <w:t>Monitoring Priority: Effective General Supervision Part C / General Supervision</w:t>
            </w:r>
          </w:p>
        </w:tc>
      </w:tr>
      <w:tr w:rsidR="009526D1" w:rsidRPr="00771904" w:rsidTr="009526D1">
        <w:tc>
          <w:tcPr>
            <w:tcW w:w="9576" w:type="dxa"/>
          </w:tcPr>
          <w:p w:rsidR="009526D1" w:rsidRPr="00771904" w:rsidRDefault="009526D1" w:rsidP="009526D1">
            <w:pPr>
              <w:spacing w:before="120" w:after="120"/>
              <w:rPr>
                <w:rFonts w:cs="Arial"/>
                <w:color w:val="000000"/>
                <w:szCs w:val="22"/>
              </w:rPr>
            </w:pPr>
            <w:r w:rsidRPr="00771904">
              <w:rPr>
                <w:rFonts w:cs="Arial"/>
                <w:b/>
                <w:color w:val="000000"/>
                <w:szCs w:val="22"/>
              </w:rPr>
              <w:t>Indicator 9:</w:t>
            </w:r>
            <w:r w:rsidRPr="00771904">
              <w:rPr>
                <w:rFonts w:cs="Arial"/>
                <w:color w:val="000000"/>
                <w:szCs w:val="22"/>
              </w:rPr>
              <w:t xml:space="preserve">  General supervision system (including monitoring, complaints, hearings, etc.) identifies and corrects noncompliance as soon as possible but in no case later than one year from identification.</w:t>
            </w:r>
          </w:p>
          <w:p w:rsidR="009526D1" w:rsidRPr="00771904" w:rsidRDefault="009526D1" w:rsidP="009526D1">
            <w:pPr>
              <w:rPr>
                <w:rFonts w:cs="Arial"/>
                <w:b/>
                <w:iCs/>
                <w:color w:val="000000"/>
                <w:szCs w:val="22"/>
              </w:rPr>
            </w:pPr>
            <w:r w:rsidRPr="00771904">
              <w:rPr>
                <w:rFonts w:cs="Arial"/>
                <w:color w:val="000000"/>
                <w:szCs w:val="22"/>
              </w:rPr>
              <w:t>(20 U.S.C. 1416(a)(3)(B) and 1442)</w:t>
            </w:r>
          </w:p>
        </w:tc>
      </w:tr>
    </w:tbl>
    <w:p w:rsidR="009526D1" w:rsidRPr="00771904" w:rsidRDefault="009526D1">
      <w:pPr>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6E74E4" w:rsidRPr="00771904" w:rsidTr="009526D1">
        <w:tc>
          <w:tcPr>
            <w:tcW w:w="9630" w:type="dxa"/>
          </w:tcPr>
          <w:p w:rsidR="006E74E4" w:rsidRPr="00771904" w:rsidRDefault="006E74E4" w:rsidP="006D38BF">
            <w:pPr>
              <w:pStyle w:val="BodyTextIndent3"/>
              <w:spacing w:before="0" w:after="0"/>
              <w:ind w:left="-4" w:firstLine="0"/>
              <w:rPr>
                <w:rFonts w:cs="Arial"/>
                <w:color w:val="000000"/>
                <w:sz w:val="22"/>
                <w:szCs w:val="22"/>
              </w:rPr>
            </w:pPr>
            <w:bookmarkStart w:id="14" w:name="ind9"/>
            <w:bookmarkEnd w:id="14"/>
            <w:r w:rsidRPr="00771904">
              <w:rPr>
                <w:rFonts w:cs="Arial"/>
                <w:b/>
                <w:color w:val="000000"/>
                <w:sz w:val="22"/>
                <w:szCs w:val="22"/>
              </w:rPr>
              <w:t>Measurement:</w:t>
            </w:r>
            <w:r w:rsidRPr="00771904">
              <w:rPr>
                <w:rFonts w:cs="Arial"/>
                <w:color w:val="000000"/>
                <w:sz w:val="22"/>
                <w:szCs w:val="22"/>
              </w:rPr>
              <w:t xml:space="preserve"> </w:t>
            </w:r>
          </w:p>
          <w:p w:rsidR="006E74E4" w:rsidRPr="00771904" w:rsidRDefault="006E74E4" w:rsidP="006D38BF">
            <w:pPr>
              <w:pStyle w:val="BodyTextIndent3"/>
              <w:spacing w:before="0" w:after="0"/>
              <w:ind w:hanging="296"/>
              <w:rPr>
                <w:rFonts w:cs="Arial"/>
                <w:color w:val="000000"/>
                <w:sz w:val="22"/>
                <w:szCs w:val="22"/>
              </w:rPr>
            </w:pPr>
            <w:r w:rsidRPr="00771904">
              <w:rPr>
                <w:rFonts w:cs="Arial"/>
                <w:color w:val="000000"/>
                <w:sz w:val="22"/>
                <w:szCs w:val="22"/>
              </w:rPr>
              <w:t>Percent of noncompliance corrected within one year of identification:</w:t>
            </w:r>
          </w:p>
          <w:p w:rsidR="006E74E4" w:rsidRPr="00771904" w:rsidRDefault="006E74E4" w:rsidP="006D38BF">
            <w:pPr>
              <w:numPr>
                <w:ilvl w:val="0"/>
                <w:numId w:val="2"/>
              </w:numPr>
              <w:rPr>
                <w:rFonts w:cs="Arial"/>
                <w:color w:val="000000"/>
                <w:szCs w:val="22"/>
              </w:rPr>
            </w:pPr>
            <w:r w:rsidRPr="00771904">
              <w:rPr>
                <w:rFonts w:cs="Arial"/>
                <w:color w:val="000000"/>
                <w:szCs w:val="22"/>
              </w:rPr>
              <w:t xml:space="preserve"># </w:t>
            </w:r>
            <w:proofErr w:type="gramStart"/>
            <w:r w:rsidRPr="00771904">
              <w:rPr>
                <w:rFonts w:cs="Arial"/>
                <w:color w:val="000000"/>
                <w:szCs w:val="22"/>
              </w:rPr>
              <w:t>of</w:t>
            </w:r>
            <w:proofErr w:type="gramEnd"/>
            <w:r w:rsidRPr="00771904">
              <w:rPr>
                <w:rFonts w:cs="Arial"/>
                <w:color w:val="000000"/>
                <w:szCs w:val="22"/>
              </w:rPr>
              <w:t xml:space="preserve"> findings of noncompliance.</w:t>
            </w:r>
          </w:p>
          <w:p w:rsidR="006E74E4" w:rsidRPr="00771904" w:rsidRDefault="006E74E4" w:rsidP="006D38BF">
            <w:pPr>
              <w:numPr>
                <w:ilvl w:val="0"/>
                <w:numId w:val="2"/>
              </w:numPr>
              <w:rPr>
                <w:rFonts w:cs="Arial"/>
                <w:color w:val="000000"/>
                <w:szCs w:val="22"/>
              </w:rPr>
            </w:pPr>
            <w:r w:rsidRPr="00771904">
              <w:rPr>
                <w:rFonts w:cs="Arial"/>
                <w:color w:val="000000"/>
                <w:szCs w:val="22"/>
              </w:rPr>
              <w:t># of corrections completed as soon as possible but in no case later than one year from identification.</w:t>
            </w:r>
          </w:p>
          <w:p w:rsidR="006E74E4" w:rsidRPr="00771904" w:rsidRDefault="006E74E4" w:rsidP="006D38BF">
            <w:pPr>
              <w:pStyle w:val="BodyTextIndent2"/>
              <w:spacing w:before="0" w:after="0"/>
              <w:rPr>
                <w:rFonts w:cs="Arial"/>
                <w:color w:val="000000"/>
                <w:sz w:val="22"/>
                <w:szCs w:val="22"/>
              </w:rPr>
            </w:pPr>
            <w:r w:rsidRPr="00771904">
              <w:rPr>
                <w:rFonts w:cs="Arial"/>
                <w:color w:val="000000"/>
                <w:sz w:val="22"/>
                <w:szCs w:val="22"/>
              </w:rPr>
              <w:t>Percent = [(b) divided by (a)] times 100.</w:t>
            </w:r>
          </w:p>
          <w:p w:rsidR="006D38BF" w:rsidRPr="00771904" w:rsidRDefault="00651FA6" w:rsidP="006D38BF">
            <w:pPr>
              <w:rPr>
                <w:rFonts w:cs="Arial"/>
                <w:color w:val="000000"/>
                <w:szCs w:val="22"/>
              </w:rPr>
            </w:pPr>
            <w:r w:rsidRPr="00771904">
              <w:rPr>
                <w:rFonts w:cs="Arial"/>
                <w:color w:val="000000"/>
                <w:szCs w:val="22"/>
              </w:rPr>
              <w:t xml:space="preserve">States are required to use the “Indicator 9 Worksheet” to report data for this indicator </w:t>
            </w:r>
          </w:p>
          <w:p w:rsidR="006E74E4" w:rsidRPr="00771904" w:rsidRDefault="00651FA6" w:rsidP="006D38BF">
            <w:pPr>
              <w:rPr>
                <w:rFonts w:cs="Arial"/>
                <w:b/>
                <w:color w:val="000000"/>
                <w:szCs w:val="22"/>
              </w:rPr>
            </w:pPr>
            <w:r w:rsidRPr="00771904">
              <w:rPr>
                <w:rFonts w:cs="Arial"/>
                <w:color w:val="000000"/>
                <w:szCs w:val="22"/>
              </w:rPr>
              <w:t>(</w:t>
            </w:r>
            <w:proofErr w:type="gramStart"/>
            <w:r w:rsidRPr="00771904">
              <w:rPr>
                <w:rFonts w:cs="Arial"/>
                <w:color w:val="000000"/>
                <w:szCs w:val="22"/>
              </w:rPr>
              <w:t>see</w:t>
            </w:r>
            <w:proofErr w:type="gramEnd"/>
            <w:r w:rsidRPr="00771904">
              <w:rPr>
                <w:rFonts w:cs="Arial"/>
                <w:color w:val="000000"/>
                <w:szCs w:val="22"/>
              </w:rPr>
              <w:t xml:space="preserve"> Attachment A).</w:t>
            </w:r>
          </w:p>
        </w:tc>
      </w:tr>
    </w:tbl>
    <w:p w:rsidR="006E74E4" w:rsidRPr="00771904" w:rsidRDefault="006E74E4" w:rsidP="00CA1FB2">
      <w:pPr>
        <w:rPr>
          <w:rFonts w:cs="Arial"/>
          <w:i/>
          <w:color w:val="000000"/>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E74E4" w:rsidRPr="00771904">
        <w:tc>
          <w:tcPr>
            <w:tcW w:w="1548" w:type="dxa"/>
          </w:tcPr>
          <w:p w:rsidR="006E74E4" w:rsidRPr="00771904" w:rsidRDefault="005B1B42" w:rsidP="001472C3">
            <w:pPr>
              <w:jc w:val="center"/>
              <w:rPr>
                <w:rFonts w:cs="Arial"/>
                <w:b/>
                <w:color w:val="000000"/>
                <w:szCs w:val="22"/>
                <w:shd w:val="pct20" w:color="auto" w:fill="auto"/>
              </w:rPr>
            </w:pPr>
            <w:r w:rsidRPr="00771904">
              <w:rPr>
                <w:rFonts w:cs="Arial"/>
                <w:b/>
                <w:color w:val="000000"/>
                <w:szCs w:val="22"/>
              </w:rPr>
              <w:t>FFY1</w:t>
            </w:r>
            <w:r w:rsidR="00205C4E" w:rsidRPr="00771904">
              <w:rPr>
                <w:rFonts w:cs="Arial"/>
                <w:b/>
                <w:color w:val="000000"/>
                <w:szCs w:val="22"/>
              </w:rPr>
              <w:t>2</w:t>
            </w:r>
          </w:p>
        </w:tc>
        <w:tc>
          <w:tcPr>
            <w:tcW w:w="8100" w:type="dxa"/>
          </w:tcPr>
          <w:p w:rsidR="006E74E4" w:rsidRPr="00771904" w:rsidRDefault="006E74E4" w:rsidP="001472C3">
            <w:pPr>
              <w:jc w:val="center"/>
              <w:rPr>
                <w:rFonts w:cs="Arial"/>
                <w:b/>
                <w:color w:val="000000"/>
                <w:szCs w:val="22"/>
              </w:rPr>
            </w:pPr>
            <w:r w:rsidRPr="00771904">
              <w:rPr>
                <w:rFonts w:cs="Arial"/>
                <w:b/>
                <w:color w:val="000000"/>
                <w:szCs w:val="22"/>
              </w:rPr>
              <w:t>Measurable and Rigorous Target</w:t>
            </w:r>
          </w:p>
        </w:tc>
      </w:tr>
      <w:tr w:rsidR="006E74E4" w:rsidRPr="00771904">
        <w:tc>
          <w:tcPr>
            <w:tcW w:w="1548" w:type="dxa"/>
          </w:tcPr>
          <w:p w:rsidR="006E74E4" w:rsidRPr="00771904" w:rsidRDefault="002A6A91" w:rsidP="001472C3">
            <w:pPr>
              <w:jc w:val="center"/>
              <w:rPr>
                <w:rFonts w:cs="Arial"/>
                <w:i/>
                <w:color w:val="000000"/>
                <w:szCs w:val="22"/>
              </w:rPr>
            </w:pPr>
            <w:r w:rsidRPr="00771904">
              <w:rPr>
                <w:rFonts w:cs="Arial"/>
                <w:i/>
                <w:color w:val="000000"/>
                <w:szCs w:val="22"/>
              </w:rPr>
              <w:t>7/1/12-6/30/13</w:t>
            </w:r>
          </w:p>
        </w:tc>
        <w:tc>
          <w:tcPr>
            <w:tcW w:w="8100" w:type="dxa"/>
            <w:vAlign w:val="center"/>
          </w:tcPr>
          <w:p w:rsidR="006E74E4" w:rsidRPr="00771904" w:rsidRDefault="006E74E4" w:rsidP="001472C3">
            <w:pPr>
              <w:jc w:val="center"/>
              <w:rPr>
                <w:rFonts w:cs="Arial"/>
                <w:i/>
                <w:color w:val="000000"/>
                <w:szCs w:val="22"/>
              </w:rPr>
            </w:pPr>
            <w:r w:rsidRPr="00771904">
              <w:rPr>
                <w:rFonts w:cs="Arial"/>
                <w:i/>
                <w:color w:val="000000"/>
                <w:szCs w:val="22"/>
              </w:rPr>
              <w:t>100%</w:t>
            </w:r>
          </w:p>
        </w:tc>
      </w:tr>
    </w:tbl>
    <w:p w:rsidR="00060CDC" w:rsidRPr="00771904" w:rsidRDefault="003027D2" w:rsidP="00FA3D5C">
      <w:pPr>
        <w:rPr>
          <w:rFonts w:cs="Arial"/>
          <w:i/>
          <w:color w:val="000000"/>
          <w:szCs w:val="22"/>
        </w:rPr>
      </w:pPr>
      <w:r w:rsidRPr="00771904">
        <w:rPr>
          <w:rFonts w:cs="Arial"/>
          <w:i/>
          <w:color w:val="000000"/>
          <w:szCs w:val="22"/>
        </w:rPr>
        <w:t>NOTE: Connecticut Part C identifies one finding per regulatory reference even if there are multiple instances (records) of</w:t>
      </w:r>
      <w:r w:rsidR="00856972" w:rsidRPr="00771904">
        <w:rPr>
          <w:rFonts w:cs="Arial"/>
          <w:i/>
          <w:color w:val="000000"/>
          <w:szCs w:val="22"/>
        </w:rPr>
        <w:t xml:space="preserve"> noncompliance</w:t>
      </w:r>
      <w:r w:rsidRPr="00771904">
        <w:rPr>
          <w:rFonts w:cs="Arial"/>
          <w:i/>
          <w:color w:val="000000"/>
          <w:szCs w:val="22"/>
        </w:rPr>
        <w:t xml:space="preserve">.  The totals below are based on all of </w:t>
      </w:r>
      <w:r w:rsidR="00192829" w:rsidRPr="00771904">
        <w:rPr>
          <w:rFonts w:cs="Arial"/>
          <w:i/>
          <w:color w:val="000000"/>
          <w:szCs w:val="22"/>
        </w:rPr>
        <w:t>the State</w:t>
      </w:r>
      <w:r w:rsidRPr="00771904">
        <w:rPr>
          <w:rFonts w:cs="Arial"/>
          <w:i/>
          <w:color w:val="000000"/>
          <w:szCs w:val="22"/>
        </w:rPr>
        <w:t>’s monitoring components and not just APR data.</w:t>
      </w:r>
    </w:p>
    <w:p w:rsidR="00FA3D5C" w:rsidRPr="00771904" w:rsidRDefault="00FA3D5C" w:rsidP="00FA3D5C">
      <w:pPr>
        <w:rPr>
          <w:rFonts w:cs="Arial"/>
          <w:i/>
          <w:color w:val="000000"/>
          <w:szCs w:val="22"/>
        </w:rPr>
      </w:pPr>
    </w:p>
    <w:p w:rsidR="003B16EE" w:rsidRPr="00771904" w:rsidRDefault="00E25BA9" w:rsidP="00FA3D5C">
      <w:pPr>
        <w:rPr>
          <w:rFonts w:cs="Arial"/>
          <w:b/>
          <w:szCs w:val="20"/>
        </w:rPr>
      </w:pPr>
      <w:r w:rsidRPr="00771904">
        <w:rPr>
          <w:rFonts w:cs="Arial"/>
          <w:b/>
          <w:szCs w:val="20"/>
        </w:rPr>
        <w:t xml:space="preserve">Actual Target Data for </w:t>
      </w:r>
      <w:r w:rsidR="00354E9E" w:rsidRPr="00771904">
        <w:rPr>
          <w:rFonts w:cs="Arial"/>
          <w:b/>
          <w:szCs w:val="20"/>
        </w:rPr>
        <w:t>FFY12</w:t>
      </w:r>
      <w:r w:rsidRPr="00771904">
        <w:rPr>
          <w:rFonts w:cs="Arial"/>
          <w:b/>
          <w:szCs w:val="20"/>
        </w:rPr>
        <w:t xml:space="preserve"> </w:t>
      </w:r>
      <w:r w:rsidR="00FA3D5C" w:rsidRPr="00771904">
        <w:rPr>
          <w:rFonts w:cs="Arial"/>
          <w:b/>
          <w:szCs w:val="20"/>
        </w:rPr>
        <w:t>(July 1, 2012 - June 30, 2013):</w:t>
      </w:r>
    </w:p>
    <w:p w:rsidR="00FA3D5C" w:rsidRPr="00771904" w:rsidRDefault="00FA3D5C" w:rsidP="00FA3D5C">
      <w:pPr>
        <w:jc w:val="center"/>
        <w:rPr>
          <w:rFonts w:cs="Arial"/>
          <w:color w:val="000000"/>
          <w:szCs w:val="22"/>
        </w:rPr>
      </w:pPr>
      <w:r w:rsidRPr="00771904">
        <w:rPr>
          <w:rFonts w:cs="Arial"/>
          <w:szCs w:val="20"/>
        </w:rPr>
        <w:t>Timely Correction of findings issued between July 1, 2011-June 30, 2012</w:t>
      </w:r>
      <w:r w:rsidRPr="00771904">
        <w:rPr>
          <w:rFonts w:cs="Arial"/>
          <w:color w:val="000000"/>
          <w:szCs w:val="22"/>
        </w:rPr>
        <w:t xml:space="preserve"> </w:t>
      </w:r>
      <w:r w:rsidRPr="00771904">
        <w:rPr>
          <w:rFonts w:cs="Arial"/>
          <w:noProof/>
          <w:color w:val="000000"/>
          <w:szCs w:val="22"/>
        </w:rPr>
        <mc:AlternateContent>
          <mc:Choice Requires="wps">
            <w:drawing>
              <wp:anchor distT="0" distB="0" distL="114300" distR="114300" simplePos="0" relativeHeight="251657216" behindDoc="0" locked="0" layoutInCell="1" allowOverlap="1" wp14:anchorId="5FC26244" wp14:editId="3F40A810">
                <wp:simplePos x="0" y="0"/>
                <wp:positionH relativeFrom="column">
                  <wp:align>center</wp:align>
                </wp:positionH>
                <wp:positionV relativeFrom="paragraph">
                  <wp:posOffset>175895</wp:posOffset>
                </wp:positionV>
                <wp:extent cx="6135370" cy="442595"/>
                <wp:effectExtent l="0" t="0" r="17780" b="14605"/>
                <wp:wrapNone/>
                <wp:docPr id="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442595"/>
                        </a:xfrm>
                        <a:prstGeom prst="rect">
                          <a:avLst/>
                        </a:prstGeom>
                        <a:solidFill>
                          <a:srgbClr val="FFFFFF"/>
                        </a:solidFill>
                        <a:ln w="9525">
                          <a:solidFill>
                            <a:srgbClr val="000000"/>
                          </a:solidFill>
                          <a:miter lim="800000"/>
                          <a:headEnd/>
                          <a:tailEnd/>
                        </a:ln>
                      </wps:spPr>
                      <wps:txbx>
                        <w:txbxContent>
                          <w:p w:rsidR="0020206F" w:rsidRPr="00427016" w:rsidRDefault="0020206F" w:rsidP="003B16EE">
                            <w:pPr>
                              <w:ind w:right="-144"/>
                              <w:jc w:val="center"/>
                              <w:rPr>
                                <w:color w:val="000000" w:themeColor="text1"/>
                                <w:szCs w:val="20"/>
                              </w:rPr>
                            </w:pPr>
                            <w:r>
                              <w:rPr>
                                <w:color w:val="000000" w:themeColor="text1"/>
                                <w:szCs w:val="20"/>
                              </w:rPr>
                              <w:t>100</w:t>
                            </w:r>
                            <w:r w:rsidRPr="00427016">
                              <w:rPr>
                                <w:color w:val="000000" w:themeColor="text1"/>
                                <w:szCs w:val="20"/>
                              </w:rPr>
                              <w:t>%   (</w:t>
                            </w:r>
                            <w:r>
                              <w:rPr>
                                <w:color w:val="000000" w:themeColor="text1"/>
                                <w:szCs w:val="20"/>
                              </w:rPr>
                              <w:t>34/34</w:t>
                            </w:r>
                            <w:r w:rsidRPr="00427016">
                              <w:rPr>
                                <w:color w:val="000000" w:themeColor="text1"/>
                                <w:szCs w:val="20"/>
                              </w:rPr>
                              <w:t xml:space="preserve"> Findings)</w:t>
                            </w:r>
                          </w:p>
                          <w:p w:rsidR="0020206F" w:rsidRPr="00427016" w:rsidRDefault="0020206F" w:rsidP="003B16EE">
                            <w:pPr>
                              <w:ind w:right="-144"/>
                              <w:jc w:val="center"/>
                              <w:rPr>
                                <w:i/>
                                <w:color w:val="000000" w:themeColor="text1"/>
                                <w:szCs w:val="20"/>
                              </w:rPr>
                            </w:pPr>
                            <w:r>
                              <w:rPr>
                                <w:i/>
                                <w:color w:val="000000" w:themeColor="text1"/>
                                <w:szCs w:val="20"/>
                              </w:rPr>
                              <w:t>State Met Target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9" o:spid="_x0000_s1026" type="#_x0000_t202" style="position:absolute;left:0;text-align:left;margin-left:0;margin-top:13.85pt;width:483.1pt;height:34.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">
                <v:textbox>
                  <w:txbxContent>
                    <w:p w:rsidR="0020206F" w:rsidRPr="00427016" w:rsidRDefault="0020206F" w:rsidP="003B16EE">
                      <w:pPr>
                        <w:ind w:right="-144"/>
                        <w:jc w:val="center"/>
                        <w:rPr>
                          <w:color w:val="000000" w:themeColor="text1"/>
                          <w:szCs w:val="20"/>
                        </w:rPr>
                      </w:pPr>
                      <w:r>
                        <w:rPr>
                          <w:color w:val="000000" w:themeColor="text1"/>
                          <w:szCs w:val="20"/>
                        </w:rPr>
                        <w:t>100</w:t>
                      </w:r>
                      <w:r w:rsidRPr="00427016">
                        <w:rPr>
                          <w:color w:val="000000" w:themeColor="text1"/>
                          <w:szCs w:val="20"/>
                        </w:rPr>
                        <w:t>%   (</w:t>
                      </w:r>
                      <w:r>
                        <w:rPr>
                          <w:color w:val="000000" w:themeColor="text1"/>
                          <w:szCs w:val="20"/>
                        </w:rPr>
                        <w:t>34/34</w:t>
                      </w:r>
                      <w:r w:rsidRPr="00427016">
                        <w:rPr>
                          <w:color w:val="000000" w:themeColor="text1"/>
                          <w:szCs w:val="20"/>
                        </w:rPr>
                        <w:t xml:space="preserve"> Findings)</w:t>
                      </w:r>
                    </w:p>
                    <w:p w:rsidR="0020206F" w:rsidRPr="00427016" w:rsidRDefault="0020206F" w:rsidP="003B16EE">
                      <w:pPr>
                        <w:ind w:right="-144"/>
                        <w:jc w:val="center"/>
                        <w:rPr>
                          <w:i/>
                          <w:color w:val="000000" w:themeColor="text1"/>
                          <w:szCs w:val="20"/>
                        </w:rPr>
                      </w:pPr>
                      <w:r>
                        <w:rPr>
                          <w:i/>
                          <w:color w:val="000000" w:themeColor="text1"/>
                          <w:szCs w:val="20"/>
                        </w:rPr>
                        <w:t>State Met Target</w:t>
                      </w:r>
                    </w:p>
                  </w:txbxContent>
                </v:textbox>
              </v:shape>
            </w:pict>
          </mc:Fallback>
        </mc:AlternateContent>
      </w:r>
    </w:p>
    <w:p w:rsidR="003B16EE" w:rsidRPr="00771904" w:rsidRDefault="003B16EE" w:rsidP="00FA3D5C">
      <w:pPr>
        <w:ind w:left="360"/>
        <w:rPr>
          <w:rFonts w:cs="Arial"/>
          <w:b/>
          <w:color w:val="000000"/>
          <w:szCs w:val="22"/>
        </w:rPr>
      </w:pPr>
    </w:p>
    <w:p w:rsidR="009C7F2B" w:rsidRPr="00771904" w:rsidRDefault="009C7F2B" w:rsidP="00FA3D5C">
      <w:pPr>
        <w:rPr>
          <w:rFonts w:cs="Arial"/>
          <w:color w:val="000000"/>
          <w:szCs w:val="22"/>
        </w:rPr>
      </w:pPr>
    </w:p>
    <w:p w:rsidR="00FA3D5C" w:rsidRPr="00771904" w:rsidRDefault="00FA3D5C" w:rsidP="00FA3D5C">
      <w:pPr>
        <w:rPr>
          <w:rFonts w:cs="Arial"/>
          <w:color w:val="000000"/>
          <w:szCs w:val="22"/>
        </w:rPr>
      </w:pPr>
    </w:p>
    <w:p w:rsidR="000C607B" w:rsidRPr="00771904" w:rsidRDefault="000C607B" w:rsidP="00FA3D5C">
      <w:pPr>
        <w:rPr>
          <w:rFonts w:cs="Arial"/>
          <w:color w:val="000000"/>
          <w:szCs w:val="22"/>
        </w:rPr>
      </w:pPr>
      <w:r w:rsidRPr="00771904">
        <w:rPr>
          <w:rFonts w:cs="Arial"/>
          <w:color w:val="000000"/>
          <w:szCs w:val="22"/>
        </w:rPr>
        <w:t xml:space="preserve">The worksheet required for this indicator is </w:t>
      </w:r>
      <w:r w:rsidR="00BA40CE" w:rsidRPr="00771904">
        <w:rPr>
          <w:rFonts w:cs="Arial"/>
          <w:color w:val="000000"/>
          <w:szCs w:val="22"/>
        </w:rPr>
        <w:t xml:space="preserve">at the end of this report </w:t>
      </w:r>
      <w:r w:rsidRPr="00771904">
        <w:rPr>
          <w:rFonts w:cs="Arial"/>
          <w:color w:val="000000"/>
          <w:szCs w:val="22"/>
        </w:rPr>
        <w:t xml:space="preserve">as </w:t>
      </w:r>
      <w:r w:rsidR="00BA40CE" w:rsidRPr="00771904">
        <w:rPr>
          <w:rFonts w:cs="Arial"/>
          <w:color w:val="000000"/>
          <w:szCs w:val="22"/>
        </w:rPr>
        <w:t>Attachment</w:t>
      </w:r>
      <w:r w:rsidRPr="00771904">
        <w:rPr>
          <w:rFonts w:cs="Arial"/>
          <w:color w:val="000000"/>
          <w:szCs w:val="22"/>
        </w:rPr>
        <w:t xml:space="preserve"> A.</w:t>
      </w:r>
    </w:p>
    <w:p w:rsidR="009C7F2B" w:rsidRPr="00771904" w:rsidRDefault="009C7F2B" w:rsidP="00FA3D5C">
      <w:pPr>
        <w:rPr>
          <w:rFonts w:cs="Arial"/>
          <w:b/>
          <w:color w:val="000000"/>
          <w:sz w:val="10"/>
          <w:szCs w:val="10"/>
        </w:rPr>
      </w:pPr>
    </w:p>
    <w:p w:rsidR="003B16EE" w:rsidRPr="00771904" w:rsidRDefault="003B16EE" w:rsidP="009C7F2B">
      <w:pPr>
        <w:rPr>
          <w:rFonts w:cs="Arial"/>
          <w:b/>
          <w:color w:val="000000"/>
          <w:szCs w:val="22"/>
        </w:rPr>
      </w:pPr>
      <w:r w:rsidRPr="00771904">
        <w:rPr>
          <w:rFonts w:cs="Arial"/>
          <w:b/>
          <w:color w:val="000000"/>
          <w:szCs w:val="22"/>
        </w:rPr>
        <w:t>Describe the process for selecting EIS programs for Monitoring:</w:t>
      </w:r>
    </w:p>
    <w:p w:rsidR="00044040" w:rsidRPr="00771904" w:rsidRDefault="004A1477" w:rsidP="009C7F2B">
      <w:pPr>
        <w:rPr>
          <w:rFonts w:cs="Arial"/>
          <w:color w:val="000000" w:themeColor="text1"/>
          <w:szCs w:val="22"/>
        </w:rPr>
      </w:pPr>
      <w:r w:rsidRPr="00771904">
        <w:rPr>
          <w:rFonts w:cs="Arial"/>
          <w:color w:val="000000"/>
          <w:szCs w:val="22"/>
        </w:rPr>
        <w:t xml:space="preserve">Connecticut monitors all programs on the four APR measures once per year using data from </w:t>
      </w:r>
      <w:r w:rsidR="00192829" w:rsidRPr="00771904">
        <w:rPr>
          <w:rFonts w:cs="Arial"/>
          <w:color w:val="000000"/>
          <w:szCs w:val="22"/>
        </w:rPr>
        <w:t>the statewide</w:t>
      </w:r>
      <w:r w:rsidR="00A818FA" w:rsidRPr="00771904">
        <w:rPr>
          <w:rFonts w:cs="Arial"/>
          <w:color w:val="000000"/>
          <w:szCs w:val="22"/>
        </w:rPr>
        <w:t xml:space="preserve"> </w:t>
      </w:r>
      <w:r w:rsidRPr="00771904">
        <w:rPr>
          <w:rFonts w:cs="Arial"/>
          <w:color w:val="000000"/>
          <w:szCs w:val="22"/>
        </w:rPr>
        <w:t xml:space="preserve">data system </w:t>
      </w:r>
      <w:r w:rsidR="00A818FA" w:rsidRPr="00771904">
        <w:rPr>
          <w:rFonts w:cs="Arial"/>
          <w:color w:val="000000"/>
          <w:szCs w:val="22"/>
        </w:rPr>
        <w:t xml:space="preserve">combined with </w:t>
      </w:r>
      <w:r w:rsidRPr="00771904">
        <w:rPr>
          <w:rFonts w:cs="Arial"/>
          <w:color w:val="000000"/>
          <w:szCs w:val="22"/>
        </w:rPr>
        <w:t xml:space="preserve">a data verification process </w:t>
      </w:r>
      <w:r w:rsidR="002D3F33" w:rsidRPr="00771904">
        <w:rPr>
          <w:rFonts w:cs="Arial"/>
          <w:color w:val="000000"/>
          <w:szCs w:val="22"/>
        </w:rPr>
        <w:t xml:space="preserve">completed </w:t>
      </w:r>
      <w:r w:rsidRPr="00771904">
        <w:rPr>
          <w:rFonts w:cs="Arial"/>
          <w:color w:val="000000"/>
          <w:szCs w:val="22"/>
        </w:rPr>
        <w:t>via email.</w:t>
      </w:r>
      <w:r w:rsidR="006D38BF" w:rsidRPr="00771904">
        <w:rPr>
          <w:rFonts w:cs="Arial"/>
          <w:color w:val="000000"/>
          <w:szCs w:val="22"/>
        </w:rPr>
        <w:t xml:space="preserve"> </w:t>
      </w:r>
      <w:r w:rsidR="006D38BF" w:rsidRPr="00771904">
        <w:rPr>
          <w:rFonts w:cs="Arial"/>
          <w:color w:val="000000" w:themeColor="text1"/>
          <w:szCs w:val="22"/>
        </w:rPr>
        <w:t xml:space="preserve">Noncompliant data triggered visits as needed.  </w:t>
      </w:r>
      <w:r w:rsidR="00205C4E" w:rsidRPr="00771904">
        <w:rPr>
          <w:rFonts w:cs="Arial"/>
          <w:color w:val="000000" w:themeColor="text1"/>
          <w:szCs w:val="22"/>
        </w:rPr>
        <w:t xml:space="preserve">At </w:t>
      </w:r>
      <w:r w:rsidR="003E5741" w:rsidRPr="00771904">
        <w:rPr>
          <w:rFonts w:cs="Arial"/>
          <w:color w:val="000000" w:themeColor="text1"/>
          <w:szCs w:val="22"/>
        </w:rPr>
        <w:t xml:space="preserve">the </w:t>
      </w:r>
      <w:r w:rsidR="00427016" w:rsidRPr="00771904">
        <w:rPr>
          <w:rFonts w:cs="Arial"/>
          <w:color w:val="000000" w:themeColor="text1"/>
          <w:szCs w:val="22"/>
        </w:rPr>
        <w:t xml:space="preserve">beginning of the </w:t>
      </w:r>
      <w:r w:rsidR="00210DB4" w:rsidRPr="00771904">
        <w:rPr>
          <w:rFonts w:cs="Arial"/>
          <w:color w:val="000000" w:themeColor="text1"/>
          <w:szCs w:val="22"/>
        </w:rPr>
        <w:t>‘</w:t>
      </w:r>
      <w:r w:rsidR="00354E9E" w:rsidRPr="00771904">
        <w:rPr>
          <w:rFonts w:cs="Arial"/>
          <w:color w:val="000000" w:themeColor="text1"/>
          <w:szCs w:val="22"/>
        </w:rPr>
        <w:t>11</w:t>
      </w:r>
      <w:r w:rsidR="003E5741" w:rsidRPr="00771904">
        <w:rPr>
          <w:rFonts w:cs="Arial"/>
          <w:color w:val="000000" w:themeColor="text1"/>
          <w:szCs w:val="22"/>
        </w:rPr>
        <w:t>-</w:t>
      </w:r>
      <w:r w:rsidR="00210DB4" w:rsidRPr="00771904">
        <w:rPr>
          <w:rFonts w:cs="Arial"/>
          <w:color w:val="000000" w:themeColor="text1"/>
          <w:szCs w:val="22"/>
        </w:rPr>
        <w:t>‘</w:t>
      </w:r>
      <w:r w:rsidR="00354E9E" w:rsidRPr="00771904">
        <w:rPr>
          <w:rFonts w:cs="Arial"/>
          <w:color w:val="000000" w:themeColor="text1"/>
          <w:szCs w:val="22"/>
        </w:rPr>
        <w:t>12</w:t>
      </w:r>
      <w:r w:rsidR="003E5741" w:rsidRPr="00771904">
        <w:rPr>
          <w:rFonts w:cs="Arial"/>
          <w:color w:val="000000" w:themeColor="text1"/>
          <w:szCs w:val="22"/>
        </w:rPr>
        <w:t xml:space="preserve"> year</w:t>
      </w:r>
      <w:r w:rsidR="00427016" w:rsidRPr="00771904">
        <w:rPr>
          <w:rFonts w:cs="Arial"/>
          <w:color w:val="000000" w:themeColor="text1"/>
          <w:szCs w:val="22"/>
        </w:rPr>
        <w:t>,</w:t>
      </w:r>
      <w:r w:rsidR="003E5741" w:rsidRPr="00771904">
        <w:rPr>
          <w:rFonts w:cs="Arial"/>
          <w:color w:val="000000" w:themeColor="text1"/>
          <w:szCs w:val="22"/>
        </w:rPr>
        <w:t xml:space="preserve"> </w:t>
      </w:r>
      <w:r w:rsidR="00427016" w:rsidRPr="00771904">
        <w:rPr>
          <w:rFonts w:cs="Arial"/>
          <w:color w:val="000000" w:themeColor="text1"/>
          <w:szCs w:val="22"/>
        </w:rPr>
        <w:t xml:space="preserve">data verification visits were made to three programs that had not had an on-site visit in at least 5 years.  </w:t>
      </w:r>
      <w:r w:rsidR="00AA53A0" w:rsidRPr="00771904">
        <w:rPr>
          <w:rFonts w:cs="Arial"/>
          <w:color w:val="000000" w:themeColor="text1"/>
          <w:szCs w:val="22"/>
        </w:rPr>
        <w:t xml:space="preserve"> </w:t>
      </w:r>
    </w:p>
    <w:p w:rsidR="00044040" w:rsidRPr="00771904" w:rsidRDefault="00044040" w:rsidP="009C7F2B">
      <w:pPr>
        <w:rPr>
          <w:rFonts w:cs="Arial"/>
          <w:color w:val="000000" w:themeColor="text1"/>
          <w:sz w:val="10"/>
          <w:szCs w:val="10"/>
        </w:rPr>
      </w:pPr>
    </w:p>
    <w:p w:rsidR="001472C3" w:rsidRPr="00771904" w:rsidRDefault="001472C3" w:rsidP="009C7F2B">
      <w:pPr>
        <w:rPr>
          <w:rFonts w:cs="Arial"/>
          <w:color w:val="000000" w:themeColor="text1"/>
          <w:sz w:val="10"/>
          <w:szCs w:val="10"/>
        </w:rPr>
      </w:pPr>
    </w:p>
    <w:p w:rsidR="004A1477" w:rsidRPr="00771904" w:rsidRDefault="00192829" w:rsidP="009C7F2B">
      <w:pPr>
        <w:rPr>
          <w:rFonts w:cs="Arial"/>
          <w:color w:val="000000" w:themeColor="text1"/>
          <w:szCs w:val="22"/>
        </w:rPr>
      </w:pPr>
      <w:r w:rsidRPr="00771904">
        <w:rPr>
          <w:rFonts w:cs="Arial"/>
          <w:color w:val="000000" w:themeColor="text1"/>
          <w:szCs w:val="22"/>
        </w:rPr>
        <w:t>The State</w:t>
      </w:r>
      <w:r w:rsidR="00427016" w:rsidRPr="00771904">
        <w:rPr>
          <w:rFonts w:cs="Arial"/>
          <w:color w:val="000000" w:themeColor="text1"/>
          <w:szCs w:val="22"/>
        </w:rPr>
        <w:t xml:space="preserve"> issued three</w:t>
      </w:r>
      <w:r w:rsidR="001472C3" w:rsidRPr="00771904">
        <w:rPr>
          <w:rFonts w:cs="Arial"/>
          <w:color w:val="000000" w:themeColor="text1"/>
          <w:szCs w:val="22"/>
        </w:rPr>
        <w:t xml:space="preserve"> </w:t>
      </w:r>
      <w:proofErr w:type="gramStart"/>
      <w:r w:rsidR="001472C3" w:rsidRPr="00771904">
        <w:rPr>
          <w:rFonts w:cs="Arial"/>
          <w:color w:val="000000" w:themeColor="text1"/>
          <w:szCs w:val="22"/>
        </w:rPr>
        <w:t>Request</w:t>
      </w:r>
      <w:proofErr w:type="gramEnd"/>
      <w:r w:rsidR="001472C3" w:rsidRPr="00771904">
        <w:rPr>
          <w:rFonts w:cs="Arial"/>
          <w:color w:val="000000" w:themeColor="text1"/>
          <w:szCs w:val="22"/>
        </w:rPr>
        <w:t xml:space="preserve"> for Proposals</w:t>
      </w:r>
      <w:r w:rsidR="00427016" w:rsidRPr="00771904">
        <w:rPr>
          <w:rFonts w:cs="Arial"/>
          <w:color w:val="000000" w:themeColor="text1"/>
          <w:szCs w:val="22"/>
        </w:rPr>
        <w:t xml:space="preserve"> </w:t>
      </w:r>
      <w:r w:rsidR="001472C3" w:rsidRPr="00771904">
        <w:rPr>
          <w:rFonts w:cs="Arial"/>
          <w:color w:val="000000" w:themeColor="text1"/>
          <w:szCs w:val="22"/>
        </w:rPr>
        <w:t>(RFPs)</w:t>
      </w:r>
      <w:r w:rsidR="00427016" w:rsidRPr="00771904">
        <w:rPr>
          <w:rFonts w:cs="Arial"/>
          <w:color w:val="000000" w:themeColor="text1"/>
          <w:szCs w:val="22"/>
        </w:rPr>
        <w:t xml:space="preserve"> for </w:t>
      </w:r>
      <w:r w:rsidR="001472C3" w:rsidRPr="00771904">
        <w:rPr>
          <w:rFonts w:cs="Arial"/>
          <w:color w:val="000000" w:themeColor="text1"/>
          <w:szCs w:val="22"/>
        </w:rPr>
        <w:t xml:space="preserve">all of the </w:t>
      </w:r>
      <w:r w:rsidR="007B2CA3" w:rsidRPr="00771904">
        <w:rPr>
          <w:rFonts w:cs="Arial"/>
          <w:color w:val="000000" w:themeColor="text1"/>
          <w:szCs w:val="22"/>
        </w:rPr>
        <w:t>Birth to Three</w:t>
      </w:r>
      <w:r w:rsidR="00427016" w:rsidRPr="00771904">
        <w:rPr>
          <w:rFonts w:cs="Arial"/>
          <w:color w:val="000000" w:themeColor="text1"/>
          <w:szCs w:val="22"/>
        </w:rPr>
        <w:t xml:space="preserve"> </w:t>
      </w:r>
      <w:r w:rsidR="001472C3" w:rsidRPr="00771904">
        <w:rPr>
          <w:rFonts w:cs="Arial"/>
          <w:color w:val="000000" w:themeColor="text1"/>
          <w:szCs w:val="22"/>
        </w:rPr>
        <w:t xml:space="preserve">programs </w:t>
      </w:r>
      <w:r w:rsidR="00044040" w:rsidRPr="00771904">
        <w:rPr>
          <w:rFonts w:cs="Arial"/>
          <w:color w:val="000000" w:themeColor="text1"/>
          <w:szCs w:val="22"/>
        </w:rPr>
        <w:t>(General</w:t>
      </w:r>
      <w:r w:rsidR="001472C3" w:rsidRPr="00771904">
        <w:rPr>
          <w:rFonts w:cs="Arial"/>
          <w:color w:val="000000" w:themeColor="text1"/>
          <w:szCs w:val="22"/>
        </w:rPr>
        <w:t xml:space="preserve"> Comprehensive</w:t>
      </w:r>
      <w:r w:rsidR="00044040" w:rsidRPr="00771904">
        <w:rPr>
          <w:rFonts w:cs="Arial"/>
          <w:color w:val="000000" w:themeColor="text1"/>
          <w:szCs w:val="22"/>
        </w:rPr>
        <w:t>, Autism Specific, and Hearing Specialty)</w:t>
      </w:r>
      <w:r w:rsidR="00427016" w:rsidRPr="00771904">
        <w:rPr>
          <w:rFonts w:cs="Arial"/>
          <w:color w:val="000000" w:themeColor="text1"/>
          <w:szCs w:val="22"/>
        </w:rPr>
        <w:t xml:space="preserve">. This </w:t>
      </w:r>
      <w:r w:rsidR="001472C3" w:rsidRPr="00771904">
        <w:rPr>
          <w:rFonts w:cs="Arial"/>
          <w:color w:val="000000" w:themeColor="text1"/>
          <w:szCs w:val="22"/>
        </w:rPr>
        <w:t xml:space="preserve">all-encompassing </w:t>
      </w:r>
      <w:r w:rsidR="00427016" w:rsidRPr="00771904">
        <w:rPr>
          <w:rFonts w:cs="Arial"/>
          <w:color w:val="000000" w:themeColor="text1"/>
          <w:szCs w:val="22"/>
        </w:rPr>
        <w:t xml:space="preserve">effort </w:t>
      </w:r>
      <w:r w:rsidR="003263BE" w:rsidRPr="00771904">
        <w:rPr>
          <w:rFonts w:cs="Arial"/>
          <w:color w:val="000000" w:themeColor="text1"/>
          <w:szCs w:val="22"/>
        </w:rPr>
        <w:t xml:space="preserve">by </w:t>
      </w:r>
      <w:r w:rsidR="007B2CA3" w:rsidRPr="00771904">
        <w:rPr>
          <w:rFonts w:cs="Arial"/>
          <w:color w:val="000000" w:themeColor="text1"/>
          <w:szCs w:val="22"/>
        </w:rPr>
        <w:t xml:space="preserve">programs and the lead agency </w:t>
      </w:r>
      <w:r w:rsidR="00427016" w:rsidRPr="00771904">
        <w:rPr>
          <w:rFonts w:cs="Arial"/>
          <w:color w:val="000000" w:themeColor="text1"/>
          <w:szCs w:val="22"/>
        </w:rPr>
        <w:t xml:space="preserve">lasted from September 2011 – </w:t>
      </w:r>
      <w:r w:rsidR="001472C3" w:rsidRPr="00771904">
        <w:rPr>
          <w:rFonts w:cs="Arial"/>
          <w:color w:val="000000" w:themeColor="text1"/>
          <w:szCs w:val="22"/>
        </w:rPr>
        <w:t xml:space="preserve">July </w:t>
      </w:r>
      <w:r w:rsidR="00427016" w:rsidRPr="00771904">
        <w:rPr>
          <w:rFonts w:cs="Arial"/>
          <w:color w:val="000000" w:themeColor="text1"/>
          <w:szCs w:val="22"/>
        </w:rPr>
        <w:t>2012</w:t>
      </w:r>
      <w:r w:rsidR="007B2CA3" w:rsidRPr="00771904">
        <w:rPr>
          <w:rFonts w:cs="Arial"/>
          <w:color w:val="000000" w:themeColor="text1"/>
          <w:szCs w:val="22"/>
        </w:rPr>
        <w:t>. T</w:t>
      </w:r>
      <w:r w:rsidR="00044040" w:rsidRPr="00771904">
        <w:rPr>
          <w:rFonts w:cs="Arial"/>
          <w:color w:val="000000" w:themeColor="text1"/>
          <w:szCs w:val="22"/>
        </w:rPr>
        <w:t xml:space="preserve">he result was that </w:t>
      </w:r>
      <w:r w:rsidR="00427016" w:rsidRPr="00771904">
        <w:rPr>
          <w:rFonts w:cs="Arial"/>
          <w:color w:val="000000" w:themeColor="text1"/>
          <w:szCs w:val="22"/>
        </w:rPr>
        <w:t>the number of children and towns served by programs</w:t>
      </w:r>
      <w:r w:rsidR="006D38BF" w:rsidRPr="00771904">
        <w:rPr>
          <w:rFonts w:cs="Arial"/>
          <w:color w:val="000000" w:themeColor="text1"/>
          <w:szCs w:val="22"/>
        </w:rPr>
        <w:t xml:space="preserve"> with the highest scores (based on their application)</w:t>
      </w:r>
      <w:r w:rsidR="001472C3" w:rsidRPr="00771904">
        <w:rPr>
          <w:rFonts w:cs="Arial"/>
          <w:color w:val="000000" w:themeColor="text1"/>
          <w:szCs w:val="22"/>
        </w:rPr>
        <w:t xml:space="preserve"> </w:t>
      </w:r>
      <w:r w:rsidR="00427016" w:rsidRPr="00771904">
        <w:rPr>
          <w:rFonts w:cs="Arial"/>
          <w:color w:val="000000" w:themeColor="text1"/>
          <w:szCs w:val="22"/>
        </w:rPr>
        <w:t xml:space="preserve">increased and </w:t>
      </w:r>
      <w:r w:rsidR="00044040" w:rsidRPr="00771904">
        <w:rPr>
          <w:rFonts w:cs="Arial"/>
          <w:color w:val="000000" w:themeColor="text1"/>
          <w:szCs w:val="22"/>
        </w:rPr>
        <w:t xml:space="preserve">the contracts for </w:t>
      </w:r>
      <w:r w:rsidR="00B32599" w:rsidRPr="00771904">
        <w:rPr>
          <w:rFonts w:cs="Arial"/>
          <w:color w:val="000000" w:themeColor="text1"/>
          <w:szCs w:val="22"/>
        </w:rPr>
        <w:t>six</w:t>
      </w:r>
      <w:r w:rsidR="00427016" w:rsidRPr="00771904">
        <w:rPr>
          <w:rFonts w:cs="Arial"/>
          <w:color w:val="000000" w:themeColor="text1"/>
          <w:szCs w:val="22"/>
        </w:rPr>
        <w:t xml:space="preserve"> programs </w:t>
      </w:r>
      <w:r w:rsidR="006D38BF" w:rsidRPr="00771904">
        <w:rPr>
          <w:rFonts w:cs="Arial"/>
          <w:color w:val="000000" w:themeColor="text1"/>
          <w:szCs w:val="22"/>
        </w:rPr>
        <w:t xml:space="preserve">with the lowest scores or who did not meet the requirements of the RFP </w:t>
      </w:r>
      <w:r w:rsidR="00427016" w:rsidRPr="00771904">
        <w:rPr>
          <w:rFonts w:cs="Arial"/>
          <w:color w:val="000000" w:themeColor="text1"/>
          <w:szCs w:val="22"/>
        </w:rPr>
        <w:t xml:space="preserve">were modified </w:t>
      </w:r>
      <w:r w:rsidR="00C62723" w:rsidRPr="00771904">
        <w:rPr>
          <w:rFonts w:cs="Arial"/>
          <w:color w:val="000000" w:themeColor="text1"/>
          <w:szCs w:val="22"/>
        </w:rPr>
        <w:t xml:space="preserve">so that they would </w:t>
      </w:r>
      <w:r w:rsidR="00427016" w:rsidRPr="00771904">
        <w:rPr>
          <w:rFonts w:cs="Arial"/>
          <w:color w:val="000000" w:themeColor="text1"/>
          <w:szCs w:val="22"/>
        </w:rPr>
        <w:t xml:space="preserve">no longer </w:t>
      </w:r>
      <w:r w:rsidR="00C62723" w:rsidRPr="00771904">
        <w:rPr>
          <w:rFonts w:cs="Arial"/>
          <w:color w:val="000000" w:themeColor="text1"/>
          <w:szCs w:val="22"/>
        </w:rPr>
        <w:t xml:space="preserve">be </w:t>
      </w:r>
      <w:r w:rsidR="00044040" w:rsidRPr="00771904">
        <w:rPr>
          <w:rFonts w:cs="Arial"/>
          <w:color w:val="000000" w:themeColor="text1"/>
          <w:szCs w:val="22"/>
        </w:rPr>
        <w:t>permit</w:t>
      </w:r>
      <w:r w:rsidR="00C62723" w:rsidRPr="00771904">
        <w:rPr>
          <w:rFonts w:cs="Arial"/>
          <w:color w:val="000000" w:themeColor="text1"/>
          <w:szCs w:val="22"/>
        </w:rPr>
        <w:t>ted to accept</w:t>
      </w:r>
      <w:r w:rsidR="00044040" w:rsidRPr="00771904">
        <w:rPr>
          <w:rFonts w:cs="Arial"/>
          <w:color w:val="000000" w:themeColor="text1"/>
          <w:szCs w:val="22"/>
        </w:rPr>
        <w:t xml:space="preserve"> </w:t>
      </w:r>
      <w:r w:rsidR="00427016" w:rsidRPr="00771904">
        <w:rPr>
          <w:rFonts w:cs="Arial"/>
          <w:color w:val="000000" w:themeColor="text1"/>
          <w:szCs w:val="22"/>
        </w:rPr>
        <w:t>new referrals</w:t>
      </w:r>
      <w:r w:rsidR="00C62723" w:rsidRPr="00771904">
        <w:rPr>
          <w:rFonts w:cs="Arial"/>
          <w:color w:val="000000" w:themeColor="text1"/>
          <w:szCs w:val="22"/>
        </w:rPr>
        <w:t xml:space="preserve"> as of 7/1/12</w:t>
      </w:r>
      <w:r w:rsidR="00427016" w:rsidRPr="00771904">
        <w:rPr>
          <w:rFonts w:cs="Arial"/>
          <w:color w:val="000000" w:themeColor="text1"/>
          <w:szCs w:val="22"/>
        </w:rPr>
        <w:t>.</w:t>
      </w:r>
      <w:r w:rsidR="00C62723" w:rsidRPr="00771904">
        <w:rPr>
          <w:rFonts w:cs="Arial"/>
          <w:color w:val="000000" w:themeColor="text1"/>
          <w:szCs w:val="22"/>
        </w:rPr>
        <w:t xml:space="preserve">  </w:t>
      </w:r>
    </w:p>
    <w:p w:rsidR="003B16EE" w:rsidRPr="00771904" w:rsidRDefault="003B16EE" w:rsidP="00BA40CE">
      <w:pPr>
        <w:rPr>
          <w:rFonts w:cs="Arial"/>
          <w:b/>
          <w:color w:val="000000"/>
          <w:szCs w:val="22"/>
        </w:rPr>
      </w:pPr>
      <w:r w:rsidRPr="00771904">
        <w:rPr>
          <w:rFonts w:cs="Arial"/>
          <w:b/>
          <w:color w:val="000000"/>
          <w:szCs w:val="22"/>
        </w:rPr>
        <w:lastRenderedPageBreak/>
        <w:t xml:space="preserve">Discussion of Improvement Activities Completed </w:t>
      </w:r>
      <w:r w:rsidRPr="00771904">
        <w:rPr>
          <w:rFonts w:cs="Arial"/>
          <w:b/>
          <w:color w:val="000000"/>
          <w:szCs w:val="22"/>
          <w:u w:val="single"/>
        </w:rPr>
        <w:t>and</w:t>
      </w:r>
      <w:r w:rsidRPr="00771904">
        <w:rPr>
          <w:rFonts w:cs="Arial"/>
          <w:b/>
          <w:color w:val="000000"/>
          <w:szCs w:val="22"/>
        </w:rPr>
        <w:t xml:space="preserve"> Explanation of Progress or Slippage that Occurred for FFY </w:t>
      </w:r>
      <w:r w:rsidR="00FA3D5C" w:rsidRPr="00771904">
        <w:rPr>
          <w:rFonts w:cs="Arial"/>
          <w:b/>
          <w:color w:val="000000"/>
          <w:szCs w:val="22"/>
        </w:rPr>
        <w:t>2012</w:t>
      </w:r>
      <w:r w:rsidRPr="00771904">
        <w:rPr>
          <w:rFonts w:cs="Arial"/>
          <w:b/>
          <w:color w:val="000000"/>
          <w:szCs w:val="22"/>
        </w:rPr>
        <w:t>:</w:t>
      </w:r>
    </w:p>
    <w:p w:rsidR="00044040" w:rsidRPr="00771904" w:rsidRDefault="00044040" w:rsidP="00BA40CE">
      <w:pPr>
        <w:rPr>
          <w:rFonts w:cs="Arial"/>
          <w:szCs w:val="22"/>
        </w:rPr>
      </w:pPr>
      <w:r w:rsidRPr="00771904">
        <w:rPr>
          <w:rFonts w:cs="Arial"/>
          <w:szCs w:val="22"/>
        </w:rPr>
        <w:t>Pursuant to OSEP Memo 1</w:t>
      </w:r>
      <w:r w:rsidR="00764BF9" w:rsidRPr="00771904">
        <w:rPr>
          <w:rFonts w:cs="Arial"/>
          <w:szCs w:val="22"/>
        </w:rPr>
        <w:t>4-3</w:t>
      </w:r>
      <w:r w:rsidRPr="00771904">
        <w:rPr>
          <w:rFonts w:cs="Arial"/>
          <w:szCs w:val="22"/>
        </w:rPr>
        <w:t xml:space="preserve">, Connecticut is not required to report on progress/slippage or improvement activities for this Indicator because </w:t>
      </w:r>
      <w:r w:rsidR="00192829" w:rsidRPr="00771904">
        <w:rPr>
          <w:rFonts w:cs="Arial"/>
          <w:szCs w:val="22"/>
        </w:rPr>
        <w:t>the State</w:t>
      </w:r>
      <w:r w:rsidRPr="00771904">
        <w:rPr>
          <w:rFonts w:cs="Arial"/>
          <w:szCs w:val="22"/>
        </w:rPr>
        <w:t xml:space="preserve"> has met its target.</w:t>
      </w:r>
    </w:p>
    <w:p w:rsidR="00044040" w:rsidRPr="00771904" w:rsidRDefault="00044040" w:rsidP="00BA40CE">
      <w:pPr>
        <w:rPr>
          <w:rFonts w:cs="Arial"/>
          <w:color w:val="000000"/>
          <w:szCs w:val="22"/>
        </w:rPr>
      </w:pPr>
    </w:p>
    <w:p w:rsidR="003B16EE" w:rsidRPr="00771904" w:rsidRDefault="003B16EE" w:rsidP="00BA40CE">
      <w:pPr>
        <w:rPr>
          <w:rFonts w:cs="Arial"/>
          <w:b/>
          <w:bCs/>
          <w:color w:val="000000"/>
          <w:szCs w:val="22"/>
        </w:rPr>
      </w:pPr>
      <w:r w:rsidRPr="00771904">
        <w:rPr>
          <w:rFonts w:cs="Arial"/>
          <w:b/>
          <w:bCs/>
          <w:color w:val="000000"/>
          <w:szCs w:val="22"/>
        </w:rPr>
        <w:t xml:space="preserve">Timely Correction Findings of Noncompliance </w:t>
      </w:r>
      <w:r w:rsidR="0014408E" w:rsidRPr="00771904">
        <w:rPr>
          <w:rFonts w:cs="Arial"/>
          <w:b/>
          <w:bCs/>
          <w:color w:val="000000"/>
          <w:szCs w:val="22"/>
        </w:rPr>
        <w:t>issued</w:t>
      </w:r>
      <w:r w:rsidR="00FA3D5C" w:rsidRPr="00771904">
        <w:rPr>
          <w:rFonts w:cs="Arial"/>
          <w:b/>
          <w:bCs/>
          <w:color w:val="000000"/>
          <w:szCs w:val="22"/>
        </w:rPr>
        <w:t xml:space="preserve"> in FFY 2011 </w:t>
      </w:r>
      <w:r w:rsidRPr="00771904">
        <w:rPr>
          <w:rFonts w:cs="Arial"/>
          <w:b/>
          <w:bCs/>
          <w:color w:val="000000"/>
          <w:szCs w:val="22"/>
        </w:rPr>
        <w:t>(corrected within one year from identification of the noncompliance):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188"/>
      </w:tblGrid>
      <w:tr w:rsidR="003B16EE" w:rsidRPr="00771904" w:rsidTr="00BA40CE">
        <w:tc>
          <w:tcPr>
            <w:tcW w:w="8280" w:type="dxa"/>
          </w:tcPr>
          <w:p w:rsidR="003B16EE" w:rsidRPr="00771904" w:rsidRDefault="003B16EE" w:rsidP="00BA40CE">
            <w:pPr>
              <w:numPr>
                <w:ilvl w:val="0"/>
                <w:numId w:val="19"/>
              </w:numPr>
              <w:rPr>
                <w:rFonts w:cs="Arial"/>
                <w:bCs/>
                <w:color w:val="000000"/>
                <w:szCs w:val="22"/>
              </w:rPr>
            </w:pPr>
            <w:r w:rsidRPr="00771904">
              <w:rPr>
                <w:rFonts w:eastAsia="Calibri" w:cs="Arial"/>
                <w:color w:val="000000"/>
                <w:szCs w:val="22"/>
              </w:rPr>
              <w:t xml:space="preserve">Number of findings of noncompliance </w:t>
            </w:r>
            <w:r w:rsidR="00192829" w:rsidRPr="00771904">
              <w:rPr>
                <w:rFonts w:eastAsia="Calibri" w:cs="Arial"/>
                <w:color w:val="000000"/>
                <w:szCs w:val="22"/>
              </w:rPr>
              <w:t>the State</w:t>
            </w:r>
            <w:r w:rsidRPr="00771904">
              <w:rPr>
                <w:rFonts w:eastAsia="Calibri" w:cs="Arial"/>
                <w:color w:val="000000"/>
                <w:szCs w:val="22"/>
              </w:rPr>
              <w:t xml:space="preserve"> made during FFY 20</w:t>
            </w:r>
            <w:r w:rsidR="00FA3D5C" w:rsidRPr="00771904">
              <w:rPr>
                <w:rFonts w:eastAsia="Calibri" w:cs="Arial"/>
                <w:color w:val="000000"/>
                <w:szCs w:val="22"/>
              </w:rPr>
              <w:t>11</w:t>
            </w:r>
            <w:r w:rsidRPr="00771904">
              <w:rPr>
                <w:rFonts w:eastAsia="Calibri" w:cs="Arial"/>
                <w:color w:val="000000"/>
                <w:szCs w:val="22"/>
              </w:rPr>
              <w:t xml:space="preserve"> (the period from July 1, 20</w:t>
            </w:r>
            <w:r w:rsidR="00FA3D5C" w:rsidRPr="00771904">
              <w:rPr>
                <w:rFonts w:eastAsia="Calibri" w:cs="Arial"/>
                <w:color w:val="000000"/>
                <w:szCs w:val="22"/>
              </w:rPr>
              <w:t>11</w:t>
            </w:r>
            <w:r w:rsidRPr="00771904">
              <w:rPr>
                <w:rFonts w:eastAsia="Calibri" w:cs="Arial"/>
                <w:color w:val="000000"/>
                <w:szCs w:val="22"/>
              </w:rPr>
              <w:t>, through June 30, 20</w:t>
            </w:r>
            <w:r w:rsidR="00FA3D5C" w:rsidRPr="00771904">
              <w:rPr>
                <w:rFonts w:eastAsia="Calibri" w:cs="Arial"/>
                <w:color w:val="000000"/>
                <w:szCs w:val="22"/>
              </w:rPr>
              <w:t>12</w:t>
            </w:r>
            <w:r w:rsidRPr="00771904">
              <w:rPr>
                <w:rFonts w:eastAsia="Calibri" w:cs="Arial"/>
                <w:color w:val="000000"/>
                <w:szCs w:val="22"/>
              </w:rPr>
              <w:t>)   (Sum of Column a on the Indicator C 9 Worksheet)</w:t>
            </w:r>
          </w:p>
        </w:tc>
        <w:tc>
          <w:tcPr>
            <w:tcW w:w="1188" w:type="dxa"/>
            <w:vAlign w:val="center"/>
          </w:tcPr>
          <w:p w:rsidR="003B16EE" w:rsidRPr="00771904" w:rsidRDefault="00044040" w:rsidP="00BA40CE">
            <w:pPr>
              <w:jc w:val="center"/>
              <w:rPr>
                <w:rFonts w:eastAsia="Calibri" w:cs="Arial"/>
                <w:b/>
                <w:bCs/>
                <w:color w:val="000000"/>
                <w:szCs w:val="22"/>
              </w:rPr>
            </w:pPr>
            <w:r w:rsidRPr="00771904">
              <w:rPr>
                <w:rFonts w:eastAsia="Calibri" w:cs="Arial"/>
                <w:b/>
                <w:bCs/>
                <w:color w:val="000000"/>
                <w:szCs w:val="22"/>
              </w:rPr>
              <w:t>34</w:t>
            </w:r>
          </w:p>
        </w:tc>
      </w:tr>
      <w:tr w:rsidR="003B16EE" w:rsidRPr="00771904" w:rsidTr="00BA40CE">
        <w:tc>
          <w:tcPr>
            <w:tcW w:w="8280" w:type="dxa"/>
          </w:tcPr>
          <w:p w:rsidR="003B16EE" w:rsidRPr="00771904" w:rsidRDefault="003B16EE" w:rsidP="00BA40CE">
            <w:pPr>
              <w:numPr>
                <w:ilvl w:val="0"/>
                <w:numId w:val="19"/>
              </w:numPr>
              <w:rPr>
                <w:rFonts w:cs="Arial"/>
                <w:bCs/>
                <w:color w:val="000000"/>
                <w:szCs w:val="22"/>
              </w:rPr>
            </w:pPr>
            <w:r w:rsidRPr="00771904">
              <w:rPr>
                <w:rFonts w:eastAsia="Calibri" w:cs="Arial"/>
                <w:color w:val="000000"/>
                <w:szCs w:val="22"/>
              </w:rPr>
              <w:t xml:space="preserve">Number of findings </w:t>
            </w:r>
            <w:r w:rsidR="00192829" w:rsidRPr="00771904">
              <w:rPr>
                <w:rFonts w:eastAsia="Calibri" w:cs="Arial"/>
                <w:color w:val="000000"/>
                <w:szCs w:val="22"/>
              </w:rPr>
              <w:t>the State</w:t>
            </w:r>
            <w:r w:rsidRPr="00771904">
              <w:rPr>
                <w:rFonts w:eastAsia="Calibri" w:cs="Arial"/>
                <w:color w:val="000000"/>
                <w:szCs w:val="22"/>
              </w:rPr>
              <w:t xml:space="preserve"> verified as timely corrected (corrected within one year from the date of notification to the EIS programs of the finding)   (Sum of Column b on the Indicator C 9 Worksheet)</w:t>
            </w:r>
          </w:p>
        </w:tc>
        <w:tc>
          <w:tcPr>
            <w:tcW w:w="1188" w:type="dxa"/>
            <w:tcBorders>
              <w:bottom w:val="single" w:sz="4" w:space="0" w:color="000000"/>
            </w:tcBorders>
            <w:vAlign w:val="center"/>
          </w:tcPr>
          <w:p w:rsidR="003B16EE" w:rsidRPr="00771904" w:rsidRDefault="00044040" w:rsidP="00BA40CE">
            <w:pPr>
              <w:jc w:val="center"/>
              <w:rPr>
                <w:rFonts w:eastAsia="Calibri" w:cs="Arial"/>
                <w:b/>
                <w:bCs/>
                <w:color w:val="000000"/>
                <w:szCs w:val="22"/>
              </w:rPr>
            </w:pPr>
            <w:r w:rsidRPr="00771904">
              <w:rPr>
                <w:rFonts w:eastAsia="Calibri" w:cs="Arial"/>
                <w:b/>
                <w:bCs/>
                <w:color w:val="000000"/>
                <w:szCs w:val="22"/>
              </w:rPr>
              <w:t>34</w:t>
            </w:r>
          </w:p>
        </w:tc>
      </w:tr>
      <w:tr w:rsidR="003B16EE" w:rsidRPr="00771904" w:rsidTr="00BA40CE">
        <w:tc>
          <w:tcPr>
            <w:tcW w:w="8280" w:type="dxa"/>
            <w:tcBorders>
              <w:bottom w:val="single" w:sz="4" w:space="0" w:color="000000"/>
            </w:tcBorders>
          </w:tcPr>
          <w:p w:rsidR="003B16EE" w:rsidRPr="00771904" w:rsidRDefault="003B16EE" w:rsidP="00BA40CE">
            <w:pPr>
              <w:numPr>
                <w:ilvl w:val="0"/>
                <w:numId w:val="19"/>
              </w:numPr>
              <w:rPr>
                <w:rFonts w:eastAsia="Calibri" w:cs="Arial"/>
                <w:bCs/>
                <w:color w:val="000000"/>
                <w:szCs w:val="22"/>
              </w:rPr>
            </w:pPr>
            <w:r w:rsidRPr="00771904">
              <w:rPr>
                <w:rFonts w:eastAsia="Calibri" w:cs="Arial"/>
                <w:color w:val="000000"/>
                <w:szCs w:val="22"/>
              </w:rPr>
              <w:t xml:space="preserve">Number of findings </w:t>
            </w:r>
            <w:r w:rsidRPr="00771904">
              <w:rPr>
                <w:rFonts w:eastAsia="Calibri" w:cs="Arial"/>
                <w:color w:val="000000"/>
                <w:szCs w:val="22"/>
                <w:u w:val="single"/>
              </w:rPr>
              <w:t>not</w:t>
            </w:r>
            <w:r w:rsidRPr="00771904">
              <w:rPr>
                <w:rFonts w:eastAsia="Calibri" w:cs="Arial"/>
                <w:color w:val="000000"/>
                <w:szCs w:val="22"/>
              </w:rPr>
              <w:t xml:space="preserve"> verified as corrected within one year [(1) minus (2)]</w:t>
            </w:r>
          </w:p>
        </w:tc>
        <w:tc>
          <w:tcPr>
            <w:tcW w:w="1188" w:type="dxa"/>
            <w:tcBorders>
              <w:bottom w:val="single" w:sz="4" w:space="0" w:color="000000"/>
            </w:tcBorders>
            <w:shd w:val="clear" w:color="auto" w:fill="A6A6A6"/>
            <w:vAlign w:val="center"/>
          </w:tcPr>
          <w:p w:rsidR="003B16EE" w:rsidRPr="00771904" w:rsidRDefault="00044040" w:rsidP="00BA40CE">
            <w:pPr>
              <w:jc w:val="center"/>
              <w:rPr>
                <w:rFonts w:eastAsia="Calibri" w:cs="Arial"/>
                <w:b/>
                <w:bCs/>
                <w:color w:val="000000"/>
                <w:szCs w:val="22"/>
              </w:rPr>
            </w:pPr>
            <w:r w:rsidRPr="00771904">
              <w:rPr>
                <w:rFonts w:cs="Arial"/>
                <w:b/>
                <w:bCs/>
                <w:color w:val="000000"/>
                <w:szCs w:val="22"/>
              </w:rPr>
              <w:t>0</w:t>
            </w:r>
          </w:p>
        </w:tc>
      </w:tr>
    </w:tbl>
    <w:p w:rsidR="003E5741" w:rsidRPr="00771904" w:rsidRDefault="003E5741" w:rsidP="00BA40CE">
      <w:pPr>
        <w:rPr>
          <w:rFonts w:cs="Arial"/>
        </w:rPr>
      </w:pPr>
    </w:p>
    <w:p w:rsidR="003B16EE" w:rsidRPr="00771904" w:rsidRDefault="003B16EE" w:rsidP="00BA40CE">
      <w:pPr>
        <w:rPr>
          <w:rFonts w:cs="Arial"/>
          <w:b/>
          <w:bCs/>
          <w:color w:val="000000"/>
          <w:szCs w:val="22"/>
        </w:rPr>
      </w:pPr>
      <w:r w:rsidRPr="00771904">
        <w:rPr>
          <w:rFonts w:cs="Arial"/>
          <w:b/>
          <w:bCs/>
          <w:color w:val="000000"/>
          <w:szCs w:val="22"/>
        </w:rPr>
        <w:t xml:space="preserve">Verification of Correction </w:t>
      </w:r>
      <w:r w:rsidR="00B95D04" w:rsidRPr="00771904">
        <w:rPr>
          <w:rFonts w:cs="Arial"/>
          <w:b/>
          <w:bCs/>
          <w:color w:val="000000"/>
          <w:szCs w:val="22"/>
        </w:rPr>
        <w:t xml:space="preserve">of </w:t>
      </w:r>
      <w:r w:rsidRPr="00771904">
        <w:rPr>
          <w:rFonts w:cs="Arial"/>
          <w:b/>
          <w:bCs/>
          <w:color w:val="000000"/>
          <w:szCs w:val="22"/>
        </w:rPr>
        <w:t xml:space="preserve">findings </w:t>
      </w:r>
      <w:r w:rsidR="00B95D04" w:rsidRPr="00771904">
        <w:rPr>
          <w:rFonts w:cs="Arial"/>
          <w:b/>
          <w:bCs/>
          <w:color w:val="000000"/>
          <w:szCs w:val="22"/>
        </w:rPr>
        <w:t xml:space="preserve">during the </w:t>
      </w:r>
      <w:r w:rsidR="00FA3D5C" w:rsidRPr="00771904">
        <w:rPr>
          <w:rFonts w:cs="Arial"/>
          <w:b/>
          <w:bCs/>
          <w:color w:val="000000"/>
          <w:szCs w:val="22"/>
        </w:rPr>
        <w:t xml:space="preserve">‘11-’12 </w:t>
      </w:r>
      <w:r w:rsidR="00B95D04" w:rsidRPr="00771904">
        <w:rPr>
          <w:rFonts w:cs="Arial"/>
          <w:b/>
          <w:bCs/>
          <w:color w:val="000000"/>
          <w:szCs w:val="22"/>
        </w:rPr>
        <w:t xml:space="preserve">year </w:t>
      </w:r>
      <w:r w:rsidRPr="00771904">
        <w:rPr>
          <w:rFonts w:cs="Arial"/>
          <w:b/>
          <w:bCs/>
          <w:color w:val="000000"/>
          <w:szCs w:val="22"/>
        </w:rPr>
        <w:t>(either timely or subsequent)</w:t>
      </w:r>
    </w:p>
    <w:p w:rsidR="004904A7" w:rsidRPr="00771904" w:rsidRDefault="00192829" w:rsidP="00BA40CE">
      <w:pPr>
        <w:rPr>
          <w:rFonts w:cs="Arial"/>
          <w:bCs/>
          <w:color w:val="000000"/>
          <w:szCs w:val="22"/>
        </w:rPr>
      </w:pPr>
      <w:r w:rsidRPr="00771904">
        <w:rPr>
          <w:rFonts w:cs="Arial"/>
          <w:bCs/>
          <w:color w:val="000000"/>
          <w:szCs w:val="22"/>
        </w:rPr>
        <w:t>The State</w:t>
      </w:r>
      <w:r w:rsidR="00044040" w:rsidRPr="00771904">
        <w:rPr>
          <w:rFonts w:cs="Arial"/>
          <w:bCs/>
          <w:color w:val="000000"/>
          <w:szCs w:val="22"/>
        </w:rPr>
        <w:t xml:space="preserve"> verified the correction of all 34 findings</w:t>
      </w:r>
      <w:r w:rsidR="006D38BF" w:rsidRPr="00771904">
        <w:rPr>
          <w:rFonts w:eastAsia="Calibri" w:cs="Arial"/>
          <w:color w:val="000000"/>
          <w:szCs w:val="22"/>
        </w:rPr>
        <w:t xml:space="preserve"> within one year from the date of notification to the programs of the finding</w:t>
      </w:r>
      <w:r w:rsidR="00044040" w:rsidRPr="00771904">
        <w:rPr>
          <w:rFonts w:cs="Arial"/>
          <w:bCs/>
          <w:color w:val="000000"/>
          <w:szCs w:val="22"/>
        </w:rPr>
        <w:t>.</w:t>
      </w:r>
    </w:p>
    <w:p w:rsidR="00044040" w:rsidRPr="00771904" w:rsidRDefault="00044040" w:rsidP="00BA40CE">
      <w:pPr>
        <w:rPr>
          <w:rFonts w:cs="Arial"/>
          <w:bCs/>
          <w:color w:val="000000"/>
          <w:szCs w:val="22"/>
        </w:rPr>
      </w:pPr>
    </w:p>
    <w:p w:rsidR="003B16EE" w:rsidRPr="00771904" w:rsidRDefault="003B16EE" w:rsidP="00BA40CE">
      <w:pPr>
        <w:rPr>
          <w:rFonts w:cs="Arial"/>
          <w:b/>
          <w:color w:val="000000"/>
          <w:szCs w:val="22"/>
        </w:rPr>
      </w:pPr>
      <w:r w:rsidRPr="00771904">
        <w:rPr>
          <w:rFonts w:cs="Arial"/>
          <w:b/>
          <w:color w:val="000000"/>
          <w:szCs w:val="22"/>
        </w:rPr>
        <w:t xml:space="preserve">Describe the specific actions that </w:t>
      </w:r>
      <w:r w:rsidR="00192829" w:rsidRPr="00771904">
        <w:rPr>
          <w:rFonts w:cs="Arial"/>
          <w:b/>
          <w:color w:val="000000"/>
          <w:szCs w:val="22"/>
        </w:rPr>
        <w:t>the State</w:t>
      </w:r>
      <w:r w:rsidRPr="00771904">
        <w:rPr>
          <w:rFonts w:cs="Arial"/>
          <w:b/>
          <w:color w:val="000000"/>
          <w:szCs w:val="22"/>
        </w:rPr>
        <w:t xml:space="preserve"> took to verify the correction </w:t>
      </w:r>
      <w:r w:rsidR="00BC74DC" w:rsidRPr="00771904">
        <w:rPr>
          <w:rFonts w:cs="Arial"/>
          <w:b/>
          <w:color w:val="000000"/>
          <w:szCs w:val="22"/>
        </w:rPr>
        <w:t xml:space="preserve">in the </w:t>
      </w:r>
      <w:r w:rsidR="00FA3D5C" w:rsidRPr="00771904">
        <w:rPr>
          <w:rFonts w:cs="Arial"/>
          <w:b/>
          <w:color w:val="000000"/>
          <w:szCs w:val="22"/>
        </w:rPr>
        <w:t>‘</w:t>
      </w:r>
      <w:r w:rsidR="00BC74DC" w:rsidRPr="00771904">
        <w:rPr>
          <w:rFonts w:cs="Arial"/>
          <w:b/>
          <w:color w:val="000000"/>
          <w:szCs w:val="22"/>
        </w:rPr>
        <w:t>12</w:t>
      </w:r>
      <w:r w:rsidR="00FA3D5C" w:rsidRPr="00771904">
        <w:rPr>
          <w:rFonts w:cs="Arial"/>
          <w:b/>
          <w:color w:val="000000"/>
          <w:szCs w:val="22"/>
        </w:rPr>
        <w:t>-‘13</w:t>
      </w:r>
      <w:r w:rsidR="00AE2AB9" w:rsidRPr="00771904">
        <w:rPr>
          <w:rFonts w:cs="Arial"/>
          <w:b/>
          <w:color w:val="000000"/>
          <w:szCs w:val="22"/>
        </w:rPr>
        <w:t xml:space="preserve"> year </w:t>
      </w:r>
      <w:r w:rsidRPr="00771904">
        <w:rPr>
          <w:rFonts w:cs="Arial"/>
          <w:b/>
          <w:color w:val="000000"/>
          <w:szCs w:val="22"/>
        </w:rPr>
        <w:t xml:space="preserve">of findings of noncompliance identified </w:t>
      </w:r>
      <w:r w:rsidR="00FA3D5C" w:rsidRPr="00771904">
        <w:rPr>
          <w:rFonts w:cs="Arial"/>
          <w:b/>
          <w:color w:val="000000"/>
          <w:szCs w:val="22"/>
        </w:rPr>
        <w:t xml:space="preserve">during the ‘11-‘12 </w:t>
      </w:r>
      <w:r w:rsidR="00AE2AB9" w:rsidRPr="00771904">
        <w:rPr>
          <w:rFonts w:cs="Arial"/>
          <w:b/>
          <w:color w:val="000000"/>
          <w:szCs w:val="22"/>
        </w:rPr>
        <w:t>year</w:t>
      </w:r>
      <w:r w:rsidRPr="00771904">
        <w:rPr>
          <w:rFonts w:cs="Arial"/>
          <w:b/>
          <w:color w:val="000000"/>
          <w:szCs w:val="22"/>
        </w:rPr>
        <w:t>:</w:t>
      </w:r>
    </w:p>
    <w:p w:rsidR="006D38BF" w:rsidRPr="00771904" w:rsidRDefault="00192829" w:rsidP="00BA40CE">
      <w:pPr>
        <w:pStyle w:val="StyleLeft025"/>
        <w:ind w:left="0" w:right="720"/>
        <w:rPr>
          <w:rFonts w:cs="Arial"/>
          <w:szCs w:val="22"/>
        </w:rPr>
      </w:pPr>
      <w:r w:rsidRPr="00771904">
        <w:rPr>
          <w:rFonts w:cs="Arial"/>
          <w:color w:val="000000"/>
          <w:szCs w:val="22"/>
        </w:rPr>
        <w:t>The State</w:t>
      </w:r>
      <w:r w:rsidR="006D38BF" w:rsidRPr="00771904">
        <w:rPr>
          <w:rFonts w:cs="Arial"/>
          <w:color w:val="000000"/>
          <w:szCs w:val="22"/>
        </w:rPr>
        <w:t xml:space="preserve"> verified the correction of all child-specific and systemic noncompliance using </w:t>
      </w:r>
      <w:r w:rsidR="006D38BF" w:rsidRPr="00771904">
        <w:rPr>
          <w:rFonts w:cs="Arial"/>
          <w:szCs w:val="22"/>
        </w:rPr>
        <w:t xml:space="preserve">onsite verification visits, reports from </w:t>
      </w:r>
      <w:r w:rsidRPr="00771904">
        <w:rPr>
          <w:rFonts w:cs="Arial"/>
          <w:szCs w:val="22"/>
        </w:rPr>
        <w:t>the statewide</w:t>
      </w:r>
      <w:r w:rsidR="006D38BF" w:rsidRPr="00771904">
        <w:rPr>
          <w:rFonts w:cs="Arial"/>
          <w:szCs w:val="22"/>
        </w:rPr>
        <w:t xml:space="preserve"> database, emails with providers, and the secure faxing of backup documentation from the </w:t>
      </w:r>
      <w:r w:rsidR="006D38BF" w:rsidRPr="00771904">
        <w:rPr>
          <w:rFonts w:cs="Arial"/>
        </w:rPr>
        <w:t>early intervention</w:t>
      </w:r>
      <w:r w:rsidR="006D38BF" w:rsidRPr="00771904">
        <w:rPr>
          <w:rFonts w:cs="Arial"/>
          <w:szCs w:val="22"/>
        </w:rPr>
        <w:t xml:space="preserve"> record at the local program.  As required, Connecticut identified each of the programs with noncompliance and notified them of the measure, the statutory reference, the raw scores, and the percent</w:t>
      </w:r>
      <w:r w:rsidR="003263BE" w:rsidRPr="00771904">
        <w:rPr>
          <w:rFonts w:cs="Arial"/>
          <w:szCs w:val="22"/>
        </w:rPr>
        <w:t xml:space="preserve"> </w:t>
      </w:r>
      <w:r w:rsidR="00BE35C2" w:rsidRPr="00771904">
        <w:rPr>
          <w:rFonts w:cs="Arial"/>
          <w:szCs w:val="22"/>
        </w:rPr>
        <w:t>of records that were in compliance</w:t>
      </w:r>
      <w:r w:rsidR="006D38BF" w:rsidRPr="00771904">
        <w:rPr>
          <w:rFonts w:cs="Arial"/>
          <w:szCs w:val="22"/>
        </w:rPr>
        <w:t xml:space="preserve">.  Programs were required to determine the root cause of the noncompliance and revise policies, procedures and practices that resulted in noncompliance as appropriate.  Once correction was reported, at least three months of subsequent data were reviewed that demonstrated 100% compliance with </w:t>
      </w:r>
      <w:r w:rsidR="00BA40CE" w:rsidRPr="00771904">
        <w:rPr>
          <w:rFonts w:cs="Arial"/>
          <w:szCs w:val="22"/>
        </w:rPr>
        <w:t xml:space="preserve">the related </w:t>
      </w:r>
      <w:r w:rsidR="006D38BF" w:rsidRPr="00771904">
        <w:rPr>
          <w:rFonts w:cs="Arial"/>
          <w:szCs w:val="22"/>
        </w:rPr>
        <w:t xml:space="preserve">requirements.  </w:t>
      </w:r>
    </w:p>
    <w:p w:rsidR="006D38BF" w:rsidRPr="00771904" w:rsidRDefault="006D38BF" w:rsidP="00BA40CE">
      <w:pPr>
        <w:ind w:left="720"/>
        <w:rPr>
          <w:rFonts w:cs="Arial"/>
          <w:szCs w:val="22"/>
        </w:rPr>
      </w:pPr>
    </w:p>
    <w:p w:rsidR="006D38BF" w:rsidRPr="00771904" w:rsidRDefault="006D38BF" w:rsidP="00BA40CE">
      <w:pPr>
        <w:pStyle w:val="StyleLeft025"/>
        <w:ind w:left="0" w:right="720"/>
        <w:rPr>
          <w:rFonts w:cs="Arial"/>
          <w:szCs w:val="22"/>
        </w:rPr>
      </w:pPr>
      <w:r w:rsidRPr="00771904">
        <w:rPr>
          <w:rFonts w:cs="Arial"/>
          <w:szCs w:val="22"/>
        </w:rPr>
        <w:t xml:space="preserve">Through this combination of efforts, the lead agency verified that </w:t>
      </w:r>
    </w:p>
    <w:p w:rsidR="00044040" w:rsidRPr="00771904" w:rsidRDefault="00044040" w:rsidP="00BA40CE">
      <w:pPr>
        <w:pStyle w:val="StyleLeft025"/>
        <w:numPr>
          <w:ilvl w:val="0"/>
          <w:numId w:val="26"/>
        </w:numPr>
        <w:ind w:right="720"/>
        <w:rPr>
          <w:rFonts w:cs="Arial"/>
          <w:szCs w:val="22"/>
        </w:rPr>
      </w:pPr>
      <w:r w:rsidRPr="00771904">
        <w:rPr>
          <w:rFonts w:cs="Arial"/>
          <w:szCs w:val="22"/>
        </w:rPr>
        <w:t xml:space="preserve">each program with noncompliance identified in ’11-’12 has corrected all individual cases of non-compliance unless the child was no longer within the jurisdiction of the Birth to Three program and </w:t>
      </w:r>
    </w:p>
    <w:p w:rsidR="00EF39D4" w:rsidRPr="00771904" w:rsidRDefault="00044040" w:rsidP="00BA40CE">
      <w:pPr>
        <w:pStyle w:val="StyleLeft025"/>
        <w:numPr>
          <w:ilvl w:val="0"/>
          <w:numId w:val="26"/>
        </w:numPr>
        <w:ind w:right="720"/>
        <w:rPr>
          <w:rFonts w:cs="Arial"/>
          <w:szCs w:val="22"/>
        </w:rPr>
      </w:pPr>
      <w:proofErr w:type="gramStart"/>
      <w:r w:rsidRPr="00771904">
        <w:rPr>
          <w:rFonts w:cs="Arial"/>
          <w:szCs w:val="22"/>
        </w:rPr>
        <w:t>each</w:t>
      </w:r>
      <w:proofErr w:type="gramEnd"/>
      <w:r w:rsidRPr="00771904">
        <w:rPr>
          <w:rFonts w:cs="Arial"/>
          <w:szCs w:val="22"/>
        </w:rPr>
        <w:t xml:space="preserve"> program was correctly implementing the regulatory requirements, based on a review of subsequent data, consistent with OSEP Memorandum 09-02.  </w:t>
      </w:r>
    </w:p>
    <w:p w:rsidR="007C24E6" w:rsidRPr="00771904" w:rsidRDefault="007C24E6" w:rsidP="00BA40CE">
      <w:pPr>
        <w:rPr>
          <w:rFonts w:cs="Arial"/>
          <w:b/>
          <w:bCs/>
          <w:sz w:val="10"/>
          <w:szCs w:val="10"/>
        </w:rPr>
      </w:pPr>
    </w:p>
    <w:p w:rsidR="00EF39D4" w:rsidRPr="00771904" w:rsidRDefault="00EF39D4" w:rsidP="00BA40CE">
      <w:pPr>
        <w:rPr>
          <w:rFonts w:cs="Arial"/>
          <w:b/>
          <w:bCs/>
          <w:szCs w:val="22"/>
        </w:rPr>
      </w:pPr>
      <w:r w:rsidRPr="00771904">
        <w:rPr>
          <w:rFonts w:cs="Arial"/>
          <w:b/>
          <w:bCs/>
          <w:szCs w:val="22"/>
        </w:rPr>
        <w:t xml:space="preserve">Additional Information </w:t>
      </w:r>
      <w:proofErr w:type="gramStart"/>
      <w:r w:rsidRPr="00771904">
        <w:rPr>
          <w:rFonts w:cs="Arial"/>
          <w:b/>
          <w:bCs/>
          <w:szCs w:val="22"/>
        </w:rPr>
        <w:t>Required</w:t>
      </w:r>
      <w:proofErr w:type="gramEnd"/>
      <w:r w:rsidRPr="00771904">
        <w:rPr>
          <w:rFonts w:cs="Arial"/>
          <w:b/>
          <w:bCs/>
          <w:szCs w:val="22"/>
        </w:rPr>
        <w:t xml:space="preserve"> by the OSEP APR Response Table for this Indicator (if applicable):</w:t>
      </w:r>
    </w:p>
    <w:p w:rsidR="00EF39D4" w:rsidRPr="00771904" w:rsidRDefault="00EF39D4" w:rsidP="00EF39D4">
      <w:pPr>
        <w:ind w:firstLine="360"/>
        <w:rPr>
          <w:rFonts w:cs="Arial"/>
          <w:b/>
          <w:bCs/>
          <w:sz w:val="8"/>
          <w:szCs w:val="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876"/>
      </w:tblGrid>
      <w:tr w:rsidR="00EF39D4" w:rsidRPr="00771904" w:rsidTr="00906293">
        <w:tc>
          <w:tcPr>
            <w:tcW w:w="4772" w:type="dxa"/>
          </w:tcPr>
          <w:p w:rsidR="00EF39D4" w:rsidRPr="00771904" w:rsidRDefault="00EF39D4" w:rsidP="00906293">
            <w:pPr>
              <w:jc w:val="center"/>
              <w:rPr>
                <w:rFonts w:cs="Arial"/>
                <w:b/>
                <w:szCs w:val="22"/>
              </w:rPr>
            </w:pPr>
            <w:r w:rsidRPr="00771904">
              <w:rPr>
                <w:rFonts w:cs="Arial"/>
                <w:b/>
                <w:bCs/>
                <w:szCs w:val="22"/>
              </w:rPr>
              <w:t>Statement from the Response Table</w:t>
            </w:r>
          </w:p>
        </w:tc>
        <w:tc>
          <w:tcPr>
            <w:tcW w:w="4876" w:type="dxa"/>
          </w:tcPr>
          <w:p w:rsidR="00EF39D4" w:rsidRPr="00771904" w:rsidRDefault="00EF39D4" w:rsidP="00906293">
            <w:pPr>
              <w:jc w:val="center"/>
              <w:rPr>
                <w:rFonts w:cs="Arial"/>
                <w:b/>
                <w:szCs w:val="22"/>
              </w:rPr>
            </w:pPr>
            <w:r w:rsidRPr="00771904">
              <w:rPr>
                <w:rFonts w:cs="Arial"/>
                <w:b/>
                <w:bCs/>
                <w:szCs w:val="22"/>
              </w:rPr>
              <w:t>State’s Response</w:t>
            </w:r>
          </w:p>
        </w:tc>
      </w:tr>
      <w:tr w:rsidR="00EF39D4" w:rsidRPr="00771904" w:rsidTr="007C24E6">
        <w:trPr>
          <w:trHeight w:val="800"/>
        </w:trPr>
        <w:tc>
          <w:tcPr>
            <w:tcW w:w="4772" w:type="dxa"/>
            <w:vAlign w:val="center"/>
          </w:tcPr>
          <w:p w:rsidR="00EF39D4" w:rsidRPr="00771904" w:rsidRDefault="00EF39D4" w:rsidP="00906293">
            <w:pPr>
              <w:autoSpaceDE w:val="0"/>
              <w:autoSpaceDN w:val="0"/>
              <w:adjustRightInd w:val="0"/>
              <w:rPr>
                <w:rFonts w:cs="Arial"/>
                <w:szCs w:val="22"/>
              </w:rPr>
            </w:pPr>
            <w:r w:rsidRPr="00771904">
              <w:rPr>
                <w:rFonts w:cs="Arial"/>
                <w:szCs w:val="22"/>
              </w:rPr>
              <w:t xml:space="preserve">“If </w:t>
            </w:r>
            <w:r w:rsidR="00192829" w:rsidRPr="00771904">
              <w:rPr>
                <w:rFonts w:cs="Arial"/>
                <w:szCs w:val="22"/>
              </w:rPr>
              <w:t>the State</w:t>
            </w:r>
            <w:r w:rsidRPr="00771904">
              <w:rPr>
                <w:rFonts w:cs="Arial"/>
                <w:szCs w:val="22"/>
              </w:rPr>
              <w:t xml:space="preserve"> does not report 100% compliance in the FFY 2012 APR, </w:t>
            </w:r>
            <w:r w:rsidR="00192829" w:rsidRPr="00771904">
              <w:rPr>
                <w:rFonts w:cs="Arial"/>
                <w:szCs w:val="22"/>
              </w:rPr>
              <w:t>the State</w:t>
            </w:r>
            <w:r w:rsidRPr="00771904">
              <w:rPr>
                <w:rFonts w:cs="Arial"/>
                <w:szCs w:val="22"/>
              </w:rPr>
              <w:t xml:space="preserve"> must review its improvement activities and revise them, if necessary.”</w:t>
            </w:r>
          </w:p>
        </w:tc>
        <w:tc>
          <w:tcPr>
            <w:tcW w:w="4876" w:type="dxa"/>
            <w:vAlign w:val="center"/>
          </w:tcPr>
          <w:p w:rsidR="00EF39D4" w:rsidRPr="00771904" w:rsidRDefault="00192829" w:rsidP="00906293">
            <w:pPr>
              <w:rPr>
                <w:rFonts w:cs="Arial"/>
                <w:szCs w:val="22"/>
                <w:highlight w:val="yellow"/>
              </w:rPr>
            </w:pPr>
            <w:r w:rsidRPr="00771904">
              <w:rPr>
                <w:rFonts w:cs="Arial"/>
                <w:szCs w:val="22"/>
              </w:rPr>
              <w:t>The State</w:t>
            </w:r>
            <w:r w:rsidR="00BA40CE" w:rsidRPr="00771904">
              <w:rPr>
                <w:rFonts w:cs="Arial"/>
                <w:szCs w:val="22"/>
              </w:rPr>
              <w:t xml:space="preserve"> reported 100%</w:t>
            </w:r>
          </w:p>
        </w:tc>
      </w:tr>
    </w:tbl>
    <w:p w:rsidR="00EF39D4" w:rsidRPr="00771904" w:rsidRDefault="00EF39D4" w:rsidP="00EF39D4">
      <w:pPr>
        <w:rPr>
          <w:rFonts w:cs="Arial"/>
          <w:i/>
          <w:sz w:val="8"/>
          <w:szCs w:val="8"/>
        </w:rPr>
      </w:pPr>
    </w:p>
    <w:p w:rsidR="00BE35C2" w:rsidRPr="00771904" w:rsidRDefault="00BE35C2" w:rsidP="00EF39D4">
      <w:pPr>
        <w:rPr>
          <w:rFonts w:cs="Arial"/>
          <w:b/>
          <w:sz w:val="12"/>
          <w:szCs w:val="12"/>
        </w:rPr>
      </w:pPr>
    </w:p>
    <w:p w:rsidR="00EF39D4" w:rsidRPr="00771904" w:rsidRDefault="00EF39D4" w:rsidP="00EF39D4">
      <w:pPr>
        <w:rPr>
          <w:rFonts w:cs="Arial"/>
          <w:b/>
          <w:iCs/>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to Proposed Targets / Improvement Activities / Timelines / Resources for FFY12 (July 1, 2012-June 30, 2013) (if applicable):</w:t>
      </w:r>
    </w:p>
    <w:p w:rsidR="004E51A2" w:rsidRPr="00771904" w:rsidRDefault="004E51A2" w:rsidP="004E51A2">
      <w:pPr>
        <w:rPr>
          <w:rFonts w:cs="Arial"/>
          <w:b/>
          <w:sz w:val="12"/>
          <w:szCs w:val="12"/>
        </w:rPr>
      </w:pPr>
    </w:p>
    <w:p w:rsidR="00BE35C2" w:rsidRPr="00771904" w:rsidRDefault="00BE35C2">
      <w:pPr>
        <w:rPr>
          <w:rFonts w:cs="Arial"/>
          <w:szCs w:val="22"/>
        </w:rPr>
      </w:pPr>
      <w:r w:rsidRPr="00771904">
        <w:rPr>
          <w:rFonts w:cs="Arial"/>
          <w:szCs w:val="22"/>
        </w:rPr>
        <w:t>No revisions at this time</w:t>
      </w:r>
      <w:r w:rsidRPr="00771904">
        <w:rPr>
          <w:rFonts w:cs="Arial"/>
          <w:szCs w:val="22"/>
        </w:rPr>
        <w:br w:type="page"/>
      </w:r>
    </w:p>
    <w:p w:rsidR="00EF39D4" w:rsidRPr="00771904" w:rsidRDefault="00EF39D4" w:rsidP="00EF39D4">
      <w:pPr>
        <w:rPr>
          <w:rFonts w:cs="Arial"/>
          <w:szCs w:val="22"/>
        </w:rPr>
      </w:pPr>
    </w:p>
    <w:p w:rsidR="00044040" w:rsidRPr="00771904" w:rsidRDefault="00044040" w:rsidP="00B95D04">
      <w:pPr>
        <w:pBdr>
          <w:bottom w:val="double" w:sz="6" w:space="1" w:color="auto"/>
        </w:pBdr>
        <w:rPr>
          <w:rFonts w:cs="Arial"/>
          <w:szCs w:val="22"/>
        </w:rPr>
      </w:pPr>
    </w:p>
    <w:p w:rsidR="00EF39D4" w:rsidRPr="00771904" w:rsidRDefault="00EF39D4" w:rsidP="00B95D04">
      <w:pPr>
        <w:pBdr>
          <w:bottom w:val="double" w:sz="6" w:space="1" w:color="auto"/>
        </w:pBdr>
        <w:rPr>
          <w:rFonts w:cs="Arial"/>
          <w:szCs w:val="22"/>
        </w:rPr>
      </w:pPr>
    </w:p>
    <w:p w:rsidR="007C24E6" w:rsidRPr="00771904" w:rsidRDefault="007C24E6" w:rsidP="00B95D04">
      <w:pPr>
        <w:pBdr>
          <w:bottom w:val="double" w:sz="6" w:space="1" w:color="auto"/>
        </w:pBdr>
        <w:rPr>
          <w:rFonts w:cs="Arial"/>
          <w:szCs w:val="22"/>
        </w:rPr>
      </w:pPr>
    </w:p>
    <w:p w:rsidR="00044040" w:rsidRPr="00771904" w:rsidRDefault="00044040" w:rsidP="00B95D04">
      <w:pPr>
        <w:pBdr>
          <w:bottom w:val="double" w:sz="6" w:space="1" w:color="auto"/>
        </w:pBdr>
        <w:rPr>
          <w:rFonts w:cs="Arial"/>
          <w:szCs w:val="22"/>
        </w:rPr>
      </w:pPr>
    </w:p>
    <w:p w:rsidR="00044040" w:rsidRPr="00771904" w:rsidRDefault="00044040" w:rsidP="00B95D04">
      <w:pPr>
        <w:pBdr>
          <w:bottom w:val="double" w:sz="6" w:space="1" w:color="auto"/>
        </w:pBdr>
        <w:rPr>
          <w:rFonts w:cs="Arial"/>
          <w:szCs w:val="22"/>
        </w:rPr>
      </w:pPr>
    </w:p>
    <w:p w:rsidR="00027A5C" w:rsidRPr="00771904" w:rsidRDefault="00027A5C" w:rsidP="00B95D04">
      <w:pPr>
        <w:rPr>
          <w:rFonts w:cs="Arial"/>
          <w:szCs w:val="22"/>
        </w:rPr>
      </w:pPr>
    </w:p>
    <w:p w:rsidR="00BA40CE" w:rsidRPr="00771904" w:rsidRDefault="00027A5C" w:rsidP="00027A5C">
      <w:pPr>
        <w:rPr>
          <w:rFonts w:cs="Arial"/>
          <w:szCs w:val="22"/>
        </w:rPr>
      </w:pPr>
      <w:r w:rsidRPr="00771904">
        <w:rPr>
          <w:rFonts w:cs="Arial"/>
          <w:szCs w:val="22"/>
        </w:rPr>
        <w:t>NOTE: Pursuant to OSEP Memorandum 1</w:t>
      </w:r>
      <w:r w:rsidR="00764BF9" w:rsidRPr="00771904">
        <w:rPr>
          <w:rFonts w:cs="Arial"/>
          <w:szCs w:val="22"/>
        </w:rPr>
        <w:t>4-3</w:t>
      </w:r>
      <w:r w:rsidRPr="00771904">
        <w:rPr>
          <w:rFonts w:cs="Arial"/>
          <w:szCs w:val="22"/>
        </w:rPr>
        <w:t xml:space="preserve">, with the accompanying Part C State Performance Plan (SPP) and Annual Performance Report (APR) Part C Indicator Measurement Table and Instructions, Indicators 10 (Complaints) and 11 (Due Process Hearings) have been deleted from the SPP/APR, effective with the FFY 2011 submission of the APR. </w:t>
      </w:r>
    </w:p>
    <w:p w:rsidR="00BA40CE" w:rsidRPr="00771904" w:rsidRDefault="00BA40CE" w:rsidP="00027A5C">
      <w:pPr>
        <w:rPr>
          <w:rFonts w:cs="Arial"/>
          <w:szCs w:val="22"/>
        </w:rPr>
      </w:pPr>
    </w:p>
    <w:p w:rsidR="00F42BDB" w:rsidRPr="00771904" w:rsidRDefault="00027A5C" w:rsidP="00027A5C">
      <w:pPr>
        <w:rPr>
          <w:rFonts w:cs="Arial"/>
        </w:rPr>
      </w:pPr>
      <w:r w:rsidRPr="00771904">
        <w:rPr>
          <w:rFonts w:cs="Arial"/>
          <w:szCs w:val="22"/>
        </w:rPr>
        <w:t>Data related to these two indicators are reported in November to the Department of Education Office of Special Education as part of reporting required under Section 618 of the IDEA. This data may be found at:</w:t>
      </w:r>
      <w:r w:rsidR="00F42BDB" w:rsidRPr="00771904">
        <w:rPr>
          <w:rFonts w:cs="Arial"/>
          <w:szCs w:val="22"/>
        </w:rPr>
        <w:t xml:space="preserve"> </w:t>
      </w:r>
      <w:hyperlink r:id="rId27" w:history="1">
        <w:r w:rsidR="00F42BDB" w:rsidRPr="00771904">
          <w:rPr>
            <w:rStyle w:val="Hyperlink"/>
            <w:rFonts w:cs="Arial"/>
            <w:szCs w:val="22"/>
          </w:rPr>
          <w:t>http://tadnet.public.tadnet.org/pages/712</w:t>
        </w:r>
      </w:hyperlink>
      <w:r w:rsidR="00F42BDB" w:rsidRPr="00771904">
        <w:rPr>
          <w:rFonts w:cs="Arial"/>
          <w:szCs w:val="22"/>
        </w:rPr>
        <w:t xml:space="preserve">  </w:t>
      </w:r>
      <w:r w:rsidRPr="00771904">
        <w:rPr>
          <w:rFonts w:cs="Arial"/>
          <w:szCs w:val="22"/>
        </w:rPr>
        <w:t xml:space="preserve"> </w:t>
      </w:r>
    </w:p>
    <w:p w:rsidR="00F42BDB" w:rsidRPr="00771904" w:rsidRDefault="00F42BDB" w:rsidP="00027A5C">
      <w:pPr>
        <w:rPr>
          <w:rFonts w:cs="Arial"/>
        </w:rPr>
      </w:pPr>
    </w:p>
    <w:p w:rsidR="00BA40CE" w:rsidRPr="00771904" w:rsidRDefault="00BA40CE" w:rsidP="00027A5C">
      <w:pPr>
        <w:rPr>
          <w:rFonts w:cs="Arial"/>
          <w:szCs w:val="22"/>
        </w:rPr>
      </w:pPr>
      <w:r w:rsidRPr="00771904">
        <w:rPr>
          <w:rFonts w:cs="Arial"/>
          <w:szCs w:val="22"/>
        </w:rPr>
        <w:t>Or</w:t>
      </w:r>
    </w:p>
    <w:p w:rsidR="00F42BDB" w:rsidRPr="00771904" w:rsidRDefault="00F42BDB" w:rsidP="00027A5C">
      <w:pPr>
        <w:rPr>
          <w:rFonts w:cs="Arial"/>
          <w:szCs w:val="22"/>
        </w:rPr>
      </w:pPr>
    </w:p>
    <w:p w:rsidR="00BA40CE" w:rsidRPr="00771904" w:rsidRDefault="00BA40CE" w:rsidP="00027A5C">
      <w:pPr>
        <w:rPr>
          <w:rFonts w:cs="Arial"/>
          <w:szCs w:val="22"/>
        </w:rPr>
      </w:pPr>
      <w:r w:rsidRPr="00771904">
        <w:rPr>
          <w:rFonts w:cs="Arial"/>
          <w:szCs w:val="22"/>
        </w:rPr>
        <w:t xml:space="preserve">At Birth23.org Under the menu option that reads </w:t>
      </w:r>
      <w:hyperlink r:id="rId28" w:history="1">
        <w:r w:rsidR="00787FDE" w:rsidRPr="00771904">
          <w:rPr>
            <w:rStyle w:val="Hyperlink"/>
            <w:rFonts w:cs="Arial"/>
          </w:rPr>
          <w:t>“How are we doing?”</w:t>
        </w:r>
      </w:hyperlink>
      <w:r w:rsidRPr="00771904">
        <w:rPr>
          <w:rFonts w:cs="Arial"/>
          <w:szCs w:val="22"/>
        </w:rPr>
        <w:t xml:space="preserve"> </w:t>
      </w:r>
      <w:proofErr w:type="gramStart"/>
      <w:r w:rsidRPr="00771904">
        <w:rPr>
          <w:rFonts w:cs="Arial"/>
          <w:szCs w:val="22"/>
        </w:rPr>
        <w:t>then</w:t>
      </w:r>
      <w:proofErr w:type="gramEnd"/>
      <w:r w:rsidRPr="00771904">
        <w:rPr>
          <w:rFonts w:cs="Arial"/>
          <w:szCs w:val="22"/>
        </w:rPr>
        <w:t xml:space="preserve"> click 618 Data Tables   This is the direct link: </w:t>
      </w:r>
      <w:hyperlink r:id="rId29" w:history="1">
        <w:r w:rsidRPr="00771904">
          <w:rPr>
            <w:rStyle w:val="Hyperlink"/>
            <w:rFonts w:cs="Arial"/>
            <w:szCs w:val="22"/>
          </w:rPr>
          <w:t>http://www.birth23.org/accountability/618data/618tbls/</w:t>
        </w:r>
      </w:hyperlink>
      <w:r w:rsidRPr="00771904">
        <w:rPr>
          <w:rFonts w:cs="Arial"/>
          <w:szCs w:val="22"/>
        </w:rPr>
        <w:t xml:space="preserve"> </w:t>
      </w:r>
    </w:p>
    <w:p w:rsidR="00BA40CE" w:rsidRPr="00771904" w:rsidRDefault="00BA40CE" w:rsidP="00BA40CE">
      <w:pPr>
        <w:pBdr>
          <w:bottom w:val="double" w:sz="6" w:space="1" w:color="auto"/>
        </w:pBdr>
        <w:rPr>
          <w:rFonts w:cs="Arial"/>
          <w:szCs w:val="22"/>
        </w:rPr>
      </w:pPr>
    </w:p>
    <w:p w:rsidR="00BA40CE" w:rsidRPr="00771904" w:rsidRDefault="00BA40CE" w:rsidP="00BA40CE">
      <w:pPr>
        <w:rPr>
          <w:rFonts w:cs="Arial"/>
          <w:szCs w:val="22"/>
        </w:rPr>
      </w:pPr>
    </w:p>
    <w:p w:rsidR="00544CEF" w:rsidRPr="00771904" w:rsidRDefault="00544CEF" w:rsidP="00B95D04">
      <w:pPr>
        <w:rPr>
          <w:rFonts w:cs="Arial"/>
          <w:szCs w:val="22"/>
        </w:rPr>
      </w:pPr>
      <w:r w:rsidRPr="00771904">
        <w:rPr>
          <w:rFonts w:cs="Arial"/>
          <w:szCs w:val="22"/>
        </w:rPr>
        <w:t xml:space="preserve">The </w:t>
      </w:r>
      <w:r w:rsidR="00027A5C" w:rsidRPr="00771904">
        <w:rPr>
          <w:rFonts w:cs="Arial"/>
          <w:szCs w:val="22"/>
        </w:rPr>
        <w:t>next Indicator is Indicator 12.</w:t>
      </w:r>
    </w:p>
    <w:p w:rsidR="001C71C2" w:rsidRPr="00771904" w:rsidRDefault="00BB23B4" w:rsidP="001C71C2">
      <w:pPr>
        <w:pStyle w:val="StyleLeft025"/>
        <w:ind w:left="0"/>
        <w:rPr>
          <w:rFonts w:cs="Arial"/>
          <w:b/>
        </w:rPr>
      </w:pPr>
      <w:r w:rsidRPr="00771904">
        <w:rPr>
          <w:rFonts w:cs="Arial"/>
          <w:color w:val="A6A6A6"/>
          <w:szCs w:val="22"/>
        </w:rPr>
        <w:br w:type="page"/>
      </w:r>
      <w:r w:rsidR="001C71C2" w:rsidRPr="00771904">
        <w:rPr>
          <w:rFonts w:cs="Arial"/>
          <w:b/>
        </w:rPr>
        <w:lastRenderedPageBreak/>
        <w:t xml:space="preserve"> </w:t>
      </w:r>
    </w:p>
    <w:p w:rsidR="006E74E4" w:rsidRPr="00771904" w:rsidRDefault="006E74E4">
      <w:pPr>
        <w:spacing w:after="360"/>
        <w:jc w:val="center"/>
        <w:rPr>
          <w:rFonts w:cs="Arial"/>
          <w:i/>
          <w:sz w:val="16"/>
          <w:szCs w:val="16"/>
        </w:rPr>
      </w:pPr>
      <w:r w:rsidRPr="00771904">
        <w:rPr>
          <w:rFonts w:cs="Arial"/>
          <w:b/>
        </w:rPr>
        <w:t xml:space="preserve">Part C State Annual Performance Report (APR) for </w:t>
      </w:r>
      <w:r w:rsidR="0068780F" w:rsidRPr="00771904">
        <w:rPr>
          <w:rFonts w:cs="Arial"/>
          <w:b/>
        </w:rPr>
        <w:t xml:space="preserve">Federal </w:t>
      </w:r>
      <w:r w:rsidR="00BA69E5" w:rsidRPr="00771904">
        <w:rPr>
          <w:rFonts w:cs="Arial"/>
          <w:b/>
        </w:rPr>
        <w:t xml:space="preserve">Fiscal </w:t>
      </w:r>
      <w:r w:rsidR="00C71124" w:rsidRPr="00771904">
        <w:rPr>
          <w:rFonts w:cs="Arial"/>
          <w:b/>
        </w:rPr>
        <w:t xml:space="preserve">Year </w:t>
      </w:r>
      <w:r w:rsidR="00976EA6" w:rsidRPr="00771904">
        <w:rPr>
          <w:rFonts w:cs="Arial"/>
          <w:b/>
        </w:rPr>
        <w:t>(FFY) 201</w:t>
      </w:r>
      <w:r w:rsidR="00AA53A0" w:rsidRPr="00771904">
        <w:rPr>
          <w:rFonts w:cs="Arial"/>
          <w:b/>
        </w:rPr>
        <w:t>2</w:t>
      </w:r>
    </w:p>
    <w:p w:rsidR="006E74E4" w:rsidRPr="00771904" w:rsidRDefault="006E74E4">
      <w:pPr>
        <w:spacing w:after="120"/>
        <w:rPr>
          <w:rFonts w:cs="Arial"/>
          <w:b/>
          <w:iCs/>
          <w:sz w:val="20"/>
        </w:rPr>
      </w:pPr>
      <w:r w:rsidRPr="00771904">
        <w:rPr>
          <w:rFonts w:cs="Arial"/>
          <w:b/>
          <w:iCs/>
          <w:sz w:val="20"/>
        </w:rPr>
        <w:t>Overview of the Annual Performance Report Development:</w:t>
      </w:r>
    </w:p>
    <w:p w:rsidR="006E74E4" w:rsidRPr="00771904" w:rsidRDefault="006E74E4">
      <w:pPr>
        <w:spacing w:after="120"/>
        <w:rPr>
          <w:rFonts w:cs="Arial"/>
        </w:rPr>
      </w:pPr>
      <w:r w:rsidRPr="00771904">
        <w:rPr>
          <w:rFonts w:cs="Arial"/>
        </w:rPr>
        <w:t>Same process as described in Indicator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E74E4" w:rsidRPr="00771904" w:rsidTr="005E30AA">
        <w:tc>
          <w:tcPr>
            <w:tcW w:w="9576" w:type="dxa"/>
          </w:tcPr>
          <w:p w:rsidR="006E74E4" w:rsidRPr="00771904" w:rsidRDefault="006E74E4">
            <w:pPr>
              <w:spacing w:before="240" w:after="240"/>
              <w:ind w:left="1980" w:hanging="1980"/>
              <w:rPr>
                <w:rFonts w:cs="Arial"/>
                <w:b/>
                <w:sz w:val="20"/>
                <w:szCs w:val="20"/>
              </w:rPr>
            </w:pPr>
            <w:r w:rsidRPr="00771904">
              <w:rPr>
                <w:rFonts w:cs="Arial"/>
                <w:b/>
                <w:sz w:val="20"/>
                <w:szCs w:val="20"/>
              </w:rPr>
              <w:t>Monitoring Priority:</w:t>
            </w:r>
            <w:r w:rsidRPr="00771904">
              <w:rPr>
                <w:rFonts w:cs="Arial"/>
                <w:b/>
                <w:sz w:val="20"/>
              </w:rPr>
              <w:t xml:space="preserve"> Effective General Supervision Part C / General Supervision</w:t>
            </w:r>
          </w:p>
        </w:tc>
      </w:tr>
      <w:tr w:rsidR="005E30AA" w:rsidRPr="00771904" w:rsidTr="005E30AA">
        <w:tc>
          <w:tcPr>
            <w:tcW w:w="9576" w:type="dxa"/>
          </w:tcPr>
          <w:p w:rsidR="005E30AA" w:rsidRPr="00771904" w:rsidRDefault="005E30AA" w:rsidP="005E30AA">
            <w:pPr>
              <w:spacing w:before="120" w:after="120"/>
              <w:rPr>
                <w:rFonts w:cs="Arial"/>
                <w:sz w:val="20"/>
              </w:rPr>
            </w:pPr>
            <w:r w:rsidRPr="00771904">
              <w:rPr>
                <w:rFonts w:cs="Arial"/>
                <w:b/>
                <w:sz w:val="20"/>
                <w:szCs w:val="20"/>
              </w:rPr>
              <w:t>Indicator 12:</w:t>
            </w:r>
            <w:r w:rsidRPr="00771904">
              <w:rPr>
                <w:rFonts w:cs="Arial"/>
              </w:rPr>
              <w:t xml:space="preserve">  </w:t>
            </w:r>
            <w:r w:rsidRPr="00771904">
              <w:rPr>
                <w:rFonts w:cs="Arial"/>
                <w:sz w:val="20"/>
              </w:rPr>
              <w:t>Percent of hearing requests that went to resolution sessions that were resolved through resolution session settlement agreements (applicable if Part B due process procedures are adopted).</w:t>
            </w:r>
          </w:p>
          <w:p w:rsidR="005E30AA" w:rsidRPr="00771904" w:rsidRDefault="005E30AA" w:rsidP="005E30AA">
            <w:pPr>
              <w:spacing w:before="240" w:after="240"/>
              <w:ind w:left="1440" w:hanging="1440"/>
              <w:rPr>
                <w:rFonts w:cs="Arial"/>
                <w:b/>
                <w:sz w:val="20"/>
                <w:szCs w:val="20"/>
              </w:rPr>
            </w:pPr>
            <w:r w:rsidRPr="00771904">
              <w:rPr>
                <w:rFonts w:cs="Arial"/>
                <w:sz w:val="20"/>
              </w:rPr>
              <w:t>(20 U.S.C. 1416(a)(3)(B) and 1442)</w:t>
            </w:r>
          </w:p>
        </w:tc>
      </w:tr>
    </w:tbl>
    <w:p w:rsidR="005E30AA" w:rsidRPr="00771904" w:rsidRDefault="005E30AA">
      <w:pPr>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6E74E4" w:rsidRPr="00771904" w:rsidTr="005E30AA">
        <w:tc>
          <w:tcPr>
            <w:tcW w:w="9558" w:type="dxa"/>
          </w:tcPr>
          <w:p w:rsidR="006E74E4" w:rsidRPr="00771904" w:rsidRDefault="006E74E4">
            <w:pPr>
              <w:spacing w:before="60" w:after="60"/>
              <w:rPr>
                <w:rFonts w:cs="Arial"/>
                <w:b/>
                <w:sz w:val="20"/>
                <w:szCs w:val="20"/>
              </w:rPr>
            </w:pPr>
            <w:bookmarkStart w:id="15" w:name="ind12"/>
            <w:bookmarkEnd w:id="15"/>
            <w:r w:rsidRPr="00771904">
              <w:rPr>
                <w:rFonts w:cs="Arial"/>
                <w:b/>
                <w:sz w:val="20"/>
                <w:szCs w:val="20"/>
              </w:rPr>
              <w:t>Measurement:</w:t>
            </w:r>
            <w:r w:rsidRPr="00771904">
              <w:rPr>
                <w:rFonts w:cs="Arial"/>
              </w:rPr>
              <w:t xml:space="preserve"> </w:t>
            </w:r>
            <w:r w:rsidRPr="00771904">
              <w:rPr>
                <w:rFonts w:cs="Arial"/>
                <w:sz w:val="20"/>
              </w:rPr>
              <w:t>Percent = (3.1(a) divided by 3.1) times 100.</w:t>
            </w:r>
          </w:p>
        </w:tc>
      </w:tr>
    </w:tbl>
    <w:p w:rsidR="006E74E4" w:rsidRPr="00771904" w:rsidRDefault="006E74E4">
      <w:pPr>
        <w:ind w:left="360"/>
        <w:rPr>
          <w:rFonts w:cs="Arial"/>
          <w:sz w:val="20"/>
          <w:szCs w:val="20"/>
        </w:rPr>
      </w:pPr>
    </w:p>
    <w:p w:rsidR="006E74E4" w:rsidRPr="00771904" w:rsidRDefault="006E74E4">
      <w:pPr>
        <w:ind w:left="360"/>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E74E4" w:rsidRPr="00771904">
        <w:tc>
          <w:tcPr>
            <w:tcW w:w="1548" w:type="dxa"/>
          </w:tcPr>
          <w:p w:rsidR="006E74E4" w:rsidRPr="00771904" w:rsidRDefault="005B1B42" w:rsidP="00BC02E9">
            <w:pPr>
              <w:spacing w:before="240" w:after="240"/>
              <w:jc w:val="center"/>
              <w:rPr>
                <w:rFonts w:cs="Arial"/>
                <w:b/>
                <w:sz w:val="20"/>
                <w:szCs w:val="20"/>
                <w:shd w:val="pct20" w:color="auto" w:fill="auto"/>
              </w:rPr>
            </w:pPr>
            <w:r w:rsidRPr="00771904">
              <w:rPr>
                <w:rFonts w:cs="Arial"/>
                <w:b/>
                <w:sz w:val="20"/>
                <w:szCs w:val="20"/>
              </w:rPr>
              <w:t>FFY1</w:t>
            </w:r>
            <w:r w:rsidR="00BC02E9" w:rsidRPr="00771904">
              <w:rPr>
                <w:rFonts w:cs="Arial"/>
                <w:b/>
                <w:sz w:val="20"/>
                <w:szCs w:val="20"/>
              </w:rPr>
              <w:t>2</w:t>
            </w:r>
          </w:p>
        </w:tc>
        <w:tc>
          <w:tcPr>
            <w:tcW w:w="8100" w:type="dxa"/>
          </w:tcPr>
          <w:p w:rsidR="006E74E4" w:rsidRPr="00771904" w:rsidRDefault="006E74E4">
            <w:pPr>
              <w:spacing w:before="240" w:after="240"/>
              <w:jc w:val="center"/>
              <w:rPr>
                <w:rFonts w:cs="Arial"/>
                <w:b/>
                <w:sz w:val="20"/>
                <w:szCs w:val="20"/>
              </w:rPr>
            </w:pPr>
            <w:r w:rsidRPr="00771904">
              <w:rPr>
                <w:rFonts w:cs="Arial"/>
                <w:b/>
                <w:sz w:val="20"/>
                <w:szCs w:val="20"/>
              </w:rPr>
              <w:t>Measurable and Rigorous Target</w:t>
            </w:r>
          </w:p>
        </w:tc>
      </w:tr>
      <w:tr w:rsidR="006E74E4" w:rsidRPr="00771904">
        <w:tc>
          <w:tcPr>
            <w:tcW w:w="1548" w:type="dxa"/>
          </w:tcPr>
          <w:p w:rsidR="006E74E4" w:rsidRPr="00771904" w:rsidRDefault="002A6A91">
            <w:pPr>
              <w:spacing w:before="240" w:after="240"/>
              <w:jc w:val="center"/>
              <w:rPr>
                <w:rFonts w:cs="Arial"/>
                <w:i/>
                <w:szCs w:val="22"/>
              </w:rPr>
            </w:pPr>
            <w:r w:rsidRPr="00771904">
              <w:rPr>
                <w:rFonts w:cs="Arial"/>
                <w:i/>
                <w:szCs w:val="22"/>
              </w:rPr>
              <w:t>7/1/12-6/30/13</w:t>
            </w:r>
          </w:p>
        </w:tc>
        <w:tc>
          <w:tcPr>
            <w:tcW w:w="8100" w:type="dxa"/>
            <w:vAlign w:val="center"/>
          </w:tcPr>
          <w:p w:rsidR="006E74E4" w:rsidRPr="00771904" w:rsidRDefault="006E74E4">
            <w:pPr>
              <w:spacing w:before="240" w:after="240"/>
              <w:jc w:val="center"/>
              <w:rPr>
                <w:rFonts w:cs="Arial"/>
                <w:i/>
                <w:szCs w:val="22"/>
              </w:rPr>
            </w:pPr>
            <w:r w:rsidRPr="00771904">
              <w:rPr>
                <w:rFonts w:cs="Arial"/>
                <w:i/>
                <w:szCs w:val="22"/>
              </w:rPr>
              <w:t>NA</w:t>
            </w:r>
          </w:p>
        </w:tc>
      </w:tr>
    </w:tbl>
    <w:p w:rsidR="006E74E4" w:rsidRPr="00771904" w:rsidRDefault="00CD5F8A">
      <w:pPr>
        <w:spacing w:before="120" w:after="120"/>
        <w:ind w:left="360"/>
        <w:rPr>
          <w:rFonts w:cs="Arial"/>
          <w:b/>
          <w:sz w:val="20"/>
          <w:szCs w:val="20"/>
        </w:rPr>
      </w:pPr>
      <w:r w:rsidRPr="00771904">
        <w:rPr>
          <w:rFonts w:cs="Arial"/>
          <w:b/>
          <w:szCs w:val="20"/>
        </w:rPr>
        <w:t xml:space="preserve">Actual Target Data for </w:t>
      </w:r>
      <w:r w:rsidR="005B1B42" w:rsidRPr="00771904">
        <w:rPr>
          <w:rFonts w:cs="Arial"/>
          <w:b/>
          <w:szCs w:val="20"/>
        </w:rPr>
        <w:t>FFY1</w:t>
      </w:r>
      <w:r w:rsidR="00BC02E9" w:rsidRPr="00771904">
        <w:rPr>
          <w:rFonts w:cs="Arial"/>
          <w:b/>
          <w:szCs w:val="20"/>
        </w:rPr>
        <w:t>2</w:t>
      </w:r>
      <w:r w:rsidRPr="00771904">
        <w:rPr>
          <w:rFonts w:cs="Arial"/>
          <w:b/>
          <w:szCs w:val="20"/>
        </w:rPr>
        <w:t xml:space="preserve"> </w:t>
      </w:r>
      <w:r w:rsidR="00FC6703" w:rsidRPr="00771904">
        <w:rPr>
          <w:rFonts w:cs="Arial"/>
          <w:b/>
          <w:szCs w:val="20"/>
        </w:rPr>
        <w:t>(</w:t>
      </w:r>
      <w:r w:rsidR="005B1B42" w:rsidRPr="00771904">
        <w:rPr>
          <w:rFonts w:cs="Arial"/>
          <w:b/>
          <w:szCs w:val="20"/>
        </w:rPr>
        <w:t>July 1, 201</w:t>
      </w:r>
      <w:r w:rsidR="00BC02E9" w:rsidRPr="00771904">
        <w:rPr>
          <w:rFonts w:cs="Arial"/>
          <w:b/>
          <w:szCs w:val="20"/>
        </w:rPr>
        <w:t xml:space="preserve">2 </w:t>
      </w:r>
      <w:r w:rsidR="005B1B42" w:rsidRPr="00771904">
        <w:rPr>
          <w:rFonts w:cs="Arial"/>
          <w:b/>
          <w:szCs w:val="20"/>
        </w:rPr>
        <w:t>-</w:t>
      </w:r>
      <w:r w:rsidR="00BC02E9" w:rsidRPr="00771904">
        <w:rPr>
          <w:rFonts w:cs="Arial"/>
          <w:b/>
          <w:szCs w:val="20"/>
        </w:rPr>
        <w:t xml:space="preserve"> </w:t>
      </w:r>
      <w:r w:rsidR="005B1B42" w:rsidRPr="00771904">
        <w:rPr>
          <w:rFonts w:cs="Arial"/>
          <w:b/>
          <w:szCs w:val="20"/>
        </w:rPr>
        <w:t>June 30, 201</w:t>
      </w:r>
      <w:r w:rsidR="00BC02E9" w:rsidRPr="00771904">
        <w:rPr>
          <w:rFonts w:cs="Arial"/>
          <w:b/>
          <w:szCs w:val="20"/>
        </w:rPr>
        <w:t>3</w:t>
      </w:r>
      <w:r w:rsidR="00FC6703" w:rsidRPr="00771904">
        <w:rPr>
          <w:rFonts w:cs="Arial"/>
          <w:b/>
          <w:szCs w:val="20"/>
        </w:rPr>
        <w:t>):</w:t>
      </w:r>
    </w:p>
    <w:p w:rsidR="004904A7" w:rsidRPr="00771904" w:rsidRDefault="004904A7" w:rsidP="004904A7">
      <w:pPr>
        <w:pStyle w:val="StyleLeft025"/>
        <w:pBdr>
          <w:top w:val="single" w:sz="4" w:space="1" w:color="auto"/>
          <w:left w:val="single" w:sz="4" w:space="4" w:color="auto"/>
          <w:bottom w:val="single" w:sz="4" w:space="1" w:color="auto"/>
          <w:right w:val="single" w:sz="4" w:space="4" w:color="auto"/>
        </w:pBdr>
        <w:ind w:left="0"/>
        <w:jc w:val="center"/>
        <w:rPr>
          <w:rFonts w:cs="Arial"/>
          <w:szCs w:val="22"/>
        </w:rPr>
      </w:pPr>
      <w:r w:rsidRPr="00771904">
        <w:rPr>
          <w:rFonts w:cs="Arial"/>
          <w:szCs w:val="22"/>
        </w:rPr>
        <w:t xml:space="preserve">NA – Does not apply </w:t>
      </w:r>
      <w:r w:rsidR="00652220" w:rsidRPr="00771904">
        <w:rPr>
          <w:rFonts w:cs="Arial"/>
          <w:szCs w:val="22"/>
        </w:rPr>
        <w:t xml:space="preserve">because Part C did not adopt Part B due process procedures </w:t>
      </w:r>
    </w:p>
    <w:p w:rsidR="004904A7" w:rsidRPr="00771904" w:rsidRDefault="004904A7" w:rsidP="004904A7">
      <w:pPr>
        <w:pStyle w:val="StyleLeft025"/>
        <w:ind w:left="0"/>
        <w:rPr>
          <w:rFonts w:cs="Arial"/>
          <w:szCs w:val="22"/>
        </w:rPr>
      </w:pPr>
    </w:p>
    <w:p w:rsidR="00BC02E9" w:rsidRPr="00771904" w:rsidRDefault="006E74E4" w:rsidP="00BC02E9">
      <w:pPr>
        <w:spacing w:before="120" w:after="120"/>
        <w:ind w:left="360"/>
        <w:rPr>
          <w:rFonts w:cs="Arial"/>
          <w:b/>
          <w:szCs w:val="20"/>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w:t>
      </w:r>
      <w:r w:rsidR="00D65E69" w:rsidRPr="00771904">
        <w:rPr>
          <w:rFonts w:cs="Arial"/>
          <w:b/>
          <w:szCs w:val="22"/>
        </w:rPr>
        <w:t xml:space="preserve">occurred for </w:t>
      </w:r>
      <w:r w:rsidR="00BC02E9" w:rsidRPr="00771904">
        <w:rPr>
          <w:rFonts w:cs="Arial"/>
          <w:b/>
          <w:szCs w:val="20"/>
        </w:rPr>
        <w:t>FFY12 (July 1, 2012 - June 30, 2013):</w:t>
      </w:r>
    </w:p>
    <w:p w:rsidR="006E74E4" w:rsidRPr="00771904" w:rsidRDefault="006E74E4" w:rsidP="00BC02E9">
      <w:pPr>
        <w:spacing w:before="120" w:after="120"/>
        <w:ind w:left="360"/>
        <w:rPr>
          <w:rFonts w:cs="Arial"/>
          <w:szCs w:val="22"/>
        </w:rPr>
      </w:pPr>
      <w:r w:rsidRPr="00771904">
        <w:rPr>
          <w:rFonts w:cs="Arial"/>
          <w:szCs w:val="22"/>
        </w:rPr>
        <w:t>NA</w:t>
      </w:r>
    </w:p>
    <w:p w:rsidR="006E74E4" w:rsidRPr="00771904" w:rsidRDefault="006E74E4">
      <w:pPr>
        <w:spacing w:before="240" w:after="120"/>
        <w:ind w:left="360"/>
        <w:rPr>
          <w:rFonts w:cs="Arial"/>
          <w:b/>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w:t>
      </w:r>
      <w:r w:rsidR="00D65E69" w:rsidRPr="00771904">
        <w:rPr>
          <w:rFonts w:cs="Arial"/>
          <w:b/>
          <w:szCs w:val="22"/>
        </w:rPr>
        <w:t xml:space="preserve">Resources for </w:t>
      </w:r>
      <w:r w:rsidR="00BC02E9" w:rsidRPr="00771904">
        <w:rPr>
          <w:rFonts w:cs="Arial"/>
          <w:b/>
          <w:szCs w:val="22"/>
        </w:rPr>
        <w:t xml:space="preserve">FFY13 (July 1, 2013 </w:t>
      </w:r>
      <w:r w:rsidR="005B1B42" w:rsidRPr="00771904">
        <w:rPr>
          <w:rFonts w:cs="Arial"/>
          <w:b/>
          <w:szCs w:val="22"/>
        </w:rPr>
        <w:t>-</w:t>
      </w:r>
      <w:r w:rsidR="00BC02E9" w:rsidRPr="00771904">
        <w:rPr>
          <w:rFonts w:cs="Arial"/>
          <w:b/>
          <w:szCs w:val="22"/>
        </w:rPr>
        <w:t xml:space="preserve"> June 30, 2014</w:t>
      </w:r>
      <w:r w:rsidR="005B1B42" w:rsidRPr="00771904">
        <w:rPr>
          <w:rFonts w:cs="Arial"/>
          <w:b/>
          <w:szCs w:val="22"/>
        </w:rPr>
        <w:t xml:space="preserve">) </w:t>
      </w:r>
      <w:r w:rsidRPr="00771904">
        <w:rPr>
          <w:rFonts w:cs="Arial"/>
          <w:i/>
          <w:szCs w:val="22"/>
        </w:rPr>
        <w:t>[If applicable]</w:t>
      </w:r>
    </w:p>
    <w:p w:rsidR="006E74E4" w:rsidRPr="00771904" w:rsidRDefault="006E74E4">
      <w:pPr>
        <w:spacing w:before="240" w:after="120"/>
        <w:ind w:left="360"/>
        <w:rPr>
          <w:rFonts w:cs="Arial"/>
          <w:szCs w:val="22"/>
        </w:rPr>
      </w:pPr>
      <w:r w:rsidRPr="00771904">
        <w:rPr>
          <w:rFonts w:cs="Arial"/>
          <w:szCs w:val="22"/>
        </w:rPr>
        <w:t>NA</w:t>
      </w:r>
    </w:p>
    <w:p w:rsidR="006E74E4" w:rsidRPr="00771904" w:rsidRDefault="006E74E4">
      <w:pPr>
        <w:spacing w:after="360"/>
        <w:jc w:val="center"/>
        <w:rPr>
          <w:rFonts w:cs="Arial"/>
          <w:i/>
          <w:sz w:val="16"/>
          <w:szCs w:val="16"/>
        </w:rPr>
      </w:pPr>
      <w:r w:rsidRPr="00771904">
        <w:rPr>
          <w:rFonts w:cs="Arial"/>
        </w:rPr>
        <w:br w:type="page"/>
      </w:r>
      <w:r w:rsidRPr="00771904">
        <w:rPr>
          <w:rFonts w:cs="Arial"/>
          <w:b/>
        </w:rPr>
        <w:lastRenderedPageBreak/>
        <w:t xml:space="preserve">Part C State Annual Performance Report (APR) for </w:t>
      </w:r>
      <w:r w:rsidR="0068780F" w:rsidRPr="00771904">
        <w:rPr>
          <w:rFonts w:cs="Arial"/>
          <w:b/>
        </w:rPr>
        <w:t xml:space="preserve">Federal </w:t>
      </w:r>
      <w:r w:rsidR="00BA69E5" w:rsidRPr="00771904">
        <w:rPr>
          <w:rFonts w:cs="Arial"/>
          <w:b/>
        </w:rPr>
        <w:t xml:space="preserve">Fiscal </w:t>
      </w:r>
      <w:r w:rsidR="00C71124" w:rsidRPr="00771904">
        <w:rPr>
          <w:rFonts w:cs="Arial"/>
          <w:b/>
        </w:rPr>
        <w:t xml:space="preserve">Year </w:t>
      </w:r>
      <w:r w:rsidR="00976EA6" w:rsidRPr="00771904">
        <w:rPr>
          <w:rFonts w:cs="Arial"/>
          <w:b/>
        </w:rPr>
        <w:t>(FFY) 201</w:t>
      </w:r>
      <w:r w:rsidR="00AA53A0" w:rsidRPr="00771904">
        <w:rPr>
          <w:rFonts w:cs="Arial"/>
          <w:b/>
        </w:rPr>
        <w:t>2</w:t>
      </w:r>
    </w:p>
    <w:p w:rsidR="006E74E4" w:rsidRPr="00771904" w:rsidRDefault="006E74E4">
      <w:pPr>
        <w:spacing w:after="120"/>
        <w:rPr>
          <w:rFonts w:cs="Arial"/>
          <w:b/>
          <w:iCs/>
          <w:sz w:val="20"/>
        </w:rPr>
      </w:pPr>
      <w:r w:rsidRPr="00771904">
        <w:rPr>
          <w:rFonts w:cs="Arial"/>
          <w:b/>
          <w:iCs/>
          <w:sz w:val="20"/>
        </w:rPr>
        <w:t>Overview of the Annual Performance Report Development:</w:t>
      </w:r>
    </w:p>
    <w:p w:rsidR="006E74E4" w:rsidRPr="00771904" w:rsidRDefault="006E74E4">
      <w:pPr>
        <w:spacing w:after="120"/>
        <w:rPr>
          <w:rFonts w:cs="Arial"/>
          <w:b/>
          <w:iCs/>
          <w:sz w:val="20"/>
        </w:rPr>
      </w:pPr>
      <w:r w:rsidRPr="00771904">
        <w:rPr>
          <w:rFonts w:cs="Arial"/>
        </w:rPr>
        <w:t>Same process as described in Indicator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E74E4" w:rsidRPr="00771904" w:rsidTr="005E30AA">
        <w:tc>
          <w:tcPr>
            <w:tcW w:w="9576" w:type="dxa"/>
          </w:tcPr>
          <w:p w:rsidR="006E74E4" w:rsidRPr="00771904" w:rsidRDefault="006E74E4">
            <w:pPr>
              <w:spacing w:before="240" w:after="240"/>
              <w:ind w:left="1980" w:hanging="1980"/>
              <w:rPr>
                <w:rFonts w:cs="Arial"/>
                <w:b/>
                <w:sz w:val="20"/>
                <w:szCs w:val="20"/>
              </w:rPr>
            </w:pPr>
            <w:r w:rsidRPr="00771904">
              <w:rPr>
                <w:rFonts w:cs="Arial"/>
                <w:b/>
                <w:sz w:val="20"/>
                <w:szCs w:val="20"/>
              </w:rPr>
              <w:t>Monitoring Priority:</w:t>
            </w:r>
            <w:r w:rsidRPr="00771904">
              <w:rPr>
                <w:rFonts w:cs="Arial"/>
                <w:b/>
                <w:sz w:val="20"/>
              </w:rPr>
              <w:t xml:space="preserve"> Effective General Supervision Part C / General Supervision</w:t>
            </w:r>
          </w:p>
        </w:tc>
      </w:tr>
      <w:tr w:rsidR="005E30AA" w:rsidRPr="00771904" w:rsidTr="005E30AA">
        <w:tc>
          <w:tcPr>
            <w:tcW w:w="9576" w:type="dxa"/>
          </w:tcPr>
          <w:p w:rsidR="005E30AA" w:rsidRPr="00771904" w:rsidRDefault="005E30AA" w:rsidP="005E30AA">
            <w:pPr>
              <w:spacing w:before="120" w:after="120"/>
              <w:ind w:left="392" w:hanging="392"/>
              <w:rPr>
                <w:rFonts w:cs="Arial"/>
                <w:sz w:val="20"/>
              </w:rPr>
            </w:pPr>
            <w:r w:rsidRPr="00771904">
              <w:rPr>
                <w:rFonts w:cs="Arial"/>
                <w:b/>
                <w:sz w:val="20"/>
                <w:szCs w:val="20"/>
              </w:rPr>
              <w:t>Indicator 13:</w:t>
            </w:r>
            <w:r w:rsidRPr="00771904">
              <w:rPr>
                <w:rFonts w:cs="Arial"/>
              </w:rPr>
              <w:t xml:space="preserve">  </w:t>
            </w:r>
            <w:r w:rsidRPr="00771904">
              <w:rPr>
                <w:rFonts w:cs="Arial"/>
                <w:sz w:val="20"/>
              </w:rPr>
              <w:t>Percent of mediations held that resulted in mediation agreements.</w:t>
            </w:r>
          </w:p>
          <w:p w:rsidR="005E30AA" w:rsidRPr="00771904" w:rsidRDefault="005E30AA" w:rsidP="005E30AA">
            <w:pPr>
              <w:spacing w:before="240" w:after="240"/>
              <w:ind w:left="1440" w:hanging="1440"/>
              <w:rPr>
                <w:rFonts w:cs="Arial"/>
                <w:b/>
                <w:sz w:val="20"/>
                <w:szCs w:val="20"/>
              </w:rPr>
            </w:pPr>
            <w:r w:rsidRPr="00771904">
              <w:rPr>
                <w:rFonts w:cs="Arial"/>
                <w:sz w:val="20"/>
              </w:rPr>
              <w:t>(20 U.S.C. 1416(a)(3)(B) and 1442)</w:t>
            </w:r>
          </w:p>
        </w:tc>
      </w:tr>
    </w:tbl>
    <w:p w:rsidR="005E30AA" w:rsidRPr="00771904" w:rsidRDefault="005E30AA">
      <w:pPr>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6E74E4" w:rsidRPr="00771904" w:rsidTr="005E30AA">
        <w:tc>
          <w:tcPr>
            <w:tcW w:w="9558" w:type="dxa"/>
            <w:vAlign w:val="center"/>
          </w:tcPr>
          <w:p w:rsidR="006E74E4" w:rsidRPr="00771904" w:rsidRDefault="006E74E4" w:rsidP="005E30AA">
            <w:pPr>
              <w:spacing w:before="60" w:after="60"/>
              <w:rPr>
                <w:rFonts w:cs="Arial"/>
                <w:b/>
                <w:sz w:val="20"/>
                <w:szCs w:val="20"/>
              </w:rPr>
            </w:pPr>
            <w:bookmarkStart w:id="16" w:name="ind13"/>
            <w:bookmarkEnd w:id="16"/>
            <w:r w:rsidRPr="00771904">
              <w:rPr>
                <w:rFonts w:cs="Arial"/>
                <w:b/>
                <w:sz w:val="20"/>
                <w:szCs w:val="20"/>
              </w:rPr>
              <w:t>Measurement:</w:t>
            </w:r>
            <w:r w:rsidRPr="00771904">
              <w:rPr>
                <w:rFonts w:cs="Arial"/>
              </w:rPr>
              <w:t xml:space="preserve"> </w:t>
            </w:r>
            <w:r w:rsidRPr="00771904">
              <w:rPr>
                <w:rFonts w:cs="Arial"/>
                <w:sz w:val="20"/>
              </w:rPr>
              <w:t>Percent = [(2.1(a</w:t>
            </w:r>
            <w:proofErr w:type="gramStart"/>
            <w:r w:rsidRPr="00771904">
              <w:rPr>
                <w:rFonts w:cs="Arial"/>
                <w:sz w:val="20"/>
              </w:rPr>
              <w:t>)(</w:t>
            </w:r>
            <w:proofErr w:type="spellStart"/>
            <w:proofErr w:type="gramEnd"/>
            <w:r w:rsidRPr="00771904">
              <w:rPr>
                <w:rFonts w:cs="Arial"/>
                <w:sz w:val="20"/>
              </w:rPr>
              <w:t>i</w:t>
            </w:r>
            <w:proofErr w:type="spellEnd"/>
            <w:r w:rsidRPr="00771904">
              <w:rPr>
                <w:rFonts w:cs="Arial"/>
                <w:sz w:val="20"/>
              </w:rPr>
              <w:t>) + 2.1(b)(</w:t>
            </w:r>
            <w:proofErr w:type="spellStart"/>
            <w:r w:rsidRPr="00771904">
              <w:rPr>
                <w:rFonts w:cs="Arial"/>
                <w:sz w:val="20"/>
              </w:rPr>
              <w:t>i</w:t>
            </w:r>
            <w:proofErr w:type="spellEnd"/>
            <w:r w:rsidRPr="00771904">
              <w:rPr>
                <w:rFonts w:cs="Arial"/>
                <w:sz w:val="20"/>
              </w:rPr>
              <w:t>)) divided by 2.1] times 100.</w:t>
            </w:r>
          </w:p>
        </w:tc>
      </w:tr>
    </w:tbl>
    <w:p w:rsidR="006E74E4" w:rsidRPr="00771904" w:rsidRDefault="006E74E4">
      <w:pPr>
        <w:ind w:left="360"/>
        <w:rPr>
          <w:rFonts w:cs="Arial"/>
          <w:sz w:val="20"/>
          <w:szCs w:val="20"/>
        </w:rPr>
      </w:pPr>
    </w:p>
    <w:p w:rsidR="006E74E4" w:rsidRPr="00771904" w:rsidRDefault="006E74E4">
      <w:pPr>
        <w:ind w:left="360"/>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E74E4" w:rsidRPr="00771904">
        <w:tc>
          <w:tcPr>
            <w:tcW w:w="1548" w:type="dxa"/>
          </w:tcPr>
          <w:p w:rsidR="006E74E4" w:rsidRPr="00771904" w:rsidRDefault="005B1B42">
            <w:pPr>
              <w:spacing w:before="240" w:after="240"/>
              <w:jc w:val="center"/>
              <w:rPr>
                <w:rFonts w:cs="Arial"/>
                <w:b/>
                <w:sz w:val="20"/>
                <w:szCs w:val="20"/>
                <w:shd w:val="pct20" w:color="auto" w:fill="auto"/>
              </w:rPr>
            </w:pPr>
            <w:r w:rsidRPr="00771904">
              <w:rPr>
                <w:rFonts w:cs="Arial"/>
                <w:b/>
                <w:sz w:val="20"/>
                <w:szCs w:val="20"/>
              </w:rPr>
              <w:t>FFY1</w:t>
            </w:r>
            <w:r w:rsidR="00BC02E9" w:rsidRPr="00771904">
              <w:rPr>
                <w:rFonts w:cs="Arial"/>
                <w:b/>
                <w:sz w:val="20"/>
                <w:szCs w:val="20"/>
              </w:rPr>
              <w:t>2</w:t>
            </w:r>
          </w:p>
        </w:tc>
        <w:tc>
          <w:tcPr>
            <w:tcW w:w="8100" w:type="dxa"/>
          </w:tcPr>
          <w:p w:rsidR="006E74E4" w:rsidRPr="00771904" w:rsidRDefault="006E74E4">
            <w:pPr>
              <w:spacing w:before="240" w:after="240"/>
              <w:jc w:val="center"/>
              <w:rPr>
                <w:rFonts w:cs="Arial"/>
                <w:b/>
                <w:sz w:val="20"/>
                <w:szCs w:val="20"/>
              </w:rPr>
            </w:pPr>
            <w:r w:rsidRPr="00771904">
              <w:rPr>
                <w:rFonts w:cs="Arial"/>
                <w:b/>
                <w:sz w:val="20"/>
                <w:szCs w:val="20"/>
              </w:rPr>
              <w:t>Measurable and Rigorous Target</w:t>
            </w:r>
          </w:p>
        </w:tc>
      </w:tr>
      <w:tr w:rsidR="006E74E4" w:rsidRPr="00771904">
        <w:tc>
          <w:tcPr>
            <w:tcW w:w="1548" w:type="dxa"/>
          </w:tcPr>
          <w:p w:rsidR="006E74E4" w:rsidRPr="00771904" w:rsidRDefault="002A6A91">
            <w:pPr>
              <w:spacing w:before="240" w:after="240"/>
              <w:jc w:val="center"/>
              <w:rPr>
                <w:rFonts w:cs="Arial"/>
                <w:i/>
                <w:szCs w:val="22"/>
              </w:rPr>
            </w:pPr>
            <w:r w:rsidRPr="00771904">
              <w:rPr>
                <w:rFonts w:cs="Arial"/>
                <w:i/>
                <w:szCs w:val="22"/>
              </w:rPr>
              <w:t>7/1/12-6/30/13</w:t>
            </w:r>
          </w:p>
        </w:tc>
        <w:tc>
          <w:tcPr>
            <w:tcW w:w="8100" w:type="dxa"/>
            <w:vAlign w:val="center"/>
          </w:tcPr>
          <w:p w:rsidR="006E74E4" w:rsidRPr="00771904" w:rsidRDefault="00977BE4">
            <w:pPr>
              <w:spacing w:before="240" w:after="240"/>
              <w:jc w:val="center"/>
              <w:rPr>
                <w:rFonts w:cs="Arial"/>
                <w:i/>
                <w:szCs w:val="22"/>
              </w:rPr>
            </w:pPr>
            <w:r w:rsidRPr="00771904">
              <w:rPr>
                <w:rFonts w:cs="Arial"/>
                <w:i/>
                <w:szCs w:val="22"/>
              </w:rPr>
              <w:t>NA</w:t>
            </w:r>
          </w:p>
        </w:tc>
      </w:tr>
    </w:tbl>
    <w:p w:rsidR="006E74E4" w:rsidRPr="00771904" w:rsidRDefault="00CD5F8A" w:rsidP="001717B2">
      <w:pPr>
        <w:spacing w:before="120" w:after="120"/>
        <w:rPr>
          <w:rFonts w:cs="Arial"/>
          <w:b/>
          <w:szCs w:val="20"/>
        </w:rPr>
      </w:pPr>
      <w:r w:rsidRPr="00771904">
        <w:rPr>
          <w:rFonts w:cs="Arial"/>
          <w:b/>
          <w:szCs w:val="20"/>
        </w:rPr>
        <w:t xml:space="preserve">Actual Target Data for </w:t>
      </w:r>
      <w:r w:rsidR="00BC02E9" w:rsidRPr="00771904">
        <w:rPr>
          <w:rFonts w:cs="Arial"/>
          <w:b/>
          <w:szCs w:val="20"/>
        </w:rPr>
        <w:t>FFY12 (July 1, 2012 - June 30, 2013):</w:t>
      </w:r>
    </w:p>
    <w:p w:rsidR="004904A7" w:rsidRPr="00771904" w:rsidRDefault="00BC02E9" w:rsidP="004904A7">
      <w:pPr>
        <w:pStyle w:val="StyleLeft025"/>
        <w:pBdr>
          <w:top w:val="single" w:sz="4" w:space="1" w:color="auto"/>
          <w:left w:val="single" w:sz="4" w:space="4" w:color="auto"/>
          <w:bottom w:val="single" w:sz="4" w:space="1" w:color="auto"/>
          <w:right w:val="single" w:sz="4" w:space="4" w:color="auto"/>
        </w:pBdr>
        <w:ind w:left="0"/>
        <w:jc w:val="center"/>
        <w:rPr>
          <w:rFonts w:cs="Arial"/>
          <w:szCs w:val="22"/>
        </w:rPr>
      </w:pPr>
      <w:r w:rsidRPr="00771904">
        <w:rPr>
          <w:rFonts w:cs="Arial"/>
        </w:rPr>
        <w:t>NA</w:t>
      </w:r>
    </w:p>
    <w:p w:rsidR="006E74E4" w:rsidRPr="00771904" w:rsidRDefault="006E74E4" w:rsidP="001717B2">
      <w:pPr>
        <w:spacing w:before="120" w:after="120"/>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Slippage that </w:t>
      </w:r>
      <w:r w:rsidR="00FD7650" w:rsidRPr="00771904">
        <w:rPr>
          <w:rFonts w:cs="Arial"/>
          <w:b/>
          <w:szCs w:val="22"/>
        </w:rPr>
        <w:t>o</w:t>
      </w:r>
      <w:r w:rsidR="00D65E69" w:rsidRPr="00771904">
        <w:rPr>
          <w:rFonts w:cs="Arial"/>
          <w:b/>
          <w:szCs w:val="22"/>
        </w:rPr>
        <w:t xml:space="preserve">ccurred for </w:t>
      </w:r>
      <w:r w:rsidR="00BC02E9" w:rsidRPr="00771904">
        <w:rPr>
          <w:rFonts w:cs="Arial"/>
          <w:b/>
          <w:szCs w:val="20"/>
        </w:rPr>
        <w:t>FFY12 (July 1, 2012 - June 30, 2013):</w:t>
      </w:r>
    </w:p>
    <w:p w:rsidR="009C5AEF" w:rsidRPr="00771904" w:rsidRDefault="009C5AEF" w:rsidP="00BC02E9">
      <w:pPr>
        <w:rPr>
          <w:rFonts w:cs="Arial"/>
        </w:rPr>
      </w:pPr>
      <w:r w:rsidRPr="00771904">
        <w:rPr>
          <w:rFonts w:cs="Arial"/>
          <w:szCs w:val="22"/>
        </w:rPr>
        <w:t xml:space="preserve">There </w:t>
      </w:r>
      <w:r w:rsidR="00BC02E9" w:rsidRPr="00771904">
        <w:rPr>
          <w:rFonts w:cs="Arial"/>
          <w:szCs w:val="22"/>
        </w:rPr>
        <w:t>w</w:t>
      </w:r>
      <w:r w:rsidR="008A1991" w:rsidRPr="00771904">
        <w:rPr>
          <w:rFonts w:cs="Arial"/>
          <w:szCs w:val="22"/>
        </w:rPr>
        <w:t>ere no</w:t>
      </w:r>
      <w:r w:rsidR="00BC02E9" w:rsidRPr="00771904">
        <w:rPr>
          <w:rFonts w:cs="Arial"/>
          <w:szCs w:val="22"/>
        </w:rPr>
        <w:t xml:space="preserve"> </w:t>
      </w:r>
      <w:r w:rsidRPr="00771904">
        <w:rPr>
          <w:rFonts w:cs="Arial"/>
          <w:szCs w:val="22"/>
        </w:rPr>
        <w:t>mediation request</w:t>
      </w:r>
      <w:r w:rsidR="00BC02E9" w:rsidRPr="00771904">
        <w:rPr>
          <w:rFonts w:cs="Arial"/>
          <w:szCs w:val="22"/>
        </w:rPr>
        <w:t>s</w:t>
      </w:r>
      <w:r w:rsidRPr="00771904">
        <w:rPr>
          <w:rFonts w:cs="Arial"/>
          <w:szCs w:val="22"/>
        </w:rPr>
        <w:t xml:space="preserve"> during the </w:t>
      </w:r>
      <w:r w:rsidR="00BC02E9" w:rsidRPr="00771904">
        <w:rPr>
          <w:rFonts w:cs="Arial"/>
          <w:szCs w:val="22"/>
        </w:rPr>
        <w:t>‘12-’13</w:t>
      </w:r>
      <w:r w:rsidRPr="00771904">
        <w:rPr>
          <w:rFonts w:cs="Arial"/>
          <w:szCs w:val="22"/>
        </w:rPr>
        <w:t xml:space="preserve"> year.  </w:t>
      </w:r>
    </w:p>
    <w:p w:rsidR="006E74E4" w:rsidRPr="00771904" w:rsidRDefault="006E74E4" w:rsidP="001717B2">
      <w:pPr>
        <w:spacing w:before="240" w:after="120"/>
        <w:rPr>
          <w:rFonts w:cs="Arial"/>
          <w:b/>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w:t>
      </w:r>
      <w:r w:rsidR="00D65E69" w:rsidRPr="00771904">
        <w:rPr>
          <w:rFonts w:cs="Arial"/>
          <w:b/>
          <w:szCs w:val="22"/>
        </w:rPr>
        <w:t xml:space="preserve">Resources for </w:t>
      </w:r>
      <w:r w:rsidR="00C02A8F" w:rsidRPr="00771904">
        <w:rPr>
          <w:rFonts w:cs="Arial"/>
          <w:b/>
          <w:szCs w:val="22"/>
        </w:rPr>
        <w:t xml:space="preserve">FFY12 (July 1, 2012-June 30, 2013) </w:t>
      </w:r>
      <w:r w:rsidRPr="00771904">
        <w:rPr>
          <w:rFonts w:cs="Arial"/>
          <w:i/>
          <w:szCs w:val="22"/>
        </w:rPr>
        <w:t>[If applicable]</w:t>
      </w:r>
    </w:p>
    <w:p w:rsidR="009C5AEF" w:rsidRPr="00771904" w:rsidRDefault="003263BE" w:rsidP="009C5AEF">
      <w:pPr>
        <w:spacing w:after="360"/>
        <w:rPr>
          <w:rFonts w:cs="Arial"/>
        </w:rPr>
      </w:pPr>
      <w:r w:rsidRPr="00771904">
        <w:rPr>
          <w:rFonts w:cs="Arial"/>
        </w:rPr>
        <w:t>No revisions at this time</w:t>
      </w:r>
    </w:p>
    <w:p w:rsidR="000B4AF6" w:rsidRPr="00771904" w:rsidRDefault="006E74E4" w:rsidP="000B4AF6">
      <w:pPr>
        <w:spacing w:after="360"/>
        <w:jc w:val="center"/>
        <w:rPr>
          <w:rFonts w:cs="Arial"/>
          <w:i/>
          <w:sz w:val="16"/>
          <w:szCs w:val="16"/>
        </w:rPr>
      </w:pPr>
      <w:r w:rsidRPr="00771904">
        <w:rPr>
          <w:rFonts w:cs="Arial"/>
        </w:rPr>
        <w:br w:type="page"/>
      </w:r>
      <w:r w:rsidR="000B4AF6" w:rsidRPr="00771904">
        <w:rPr>
          <w:rFonts w:cs="Arial"/>
          <w:b/>
        </w:rPr>
        <w:lastRenderedPageBreak/>
        <w:t>Part C State Annual Performance Report (APR) for Federal Fiscal Year (FFY) 201</w:t>
      </w:r>
      <w:r w:rsidR="00AA53A0" w:rsidRPr="00771904">
        <w:rPr>
          <w:rFonts w:cs="Arial"/>
          <w:b/>
        </w:rPr>
        <w:t>2</w:t>
      </w:r>
    </w:p>
    <w:p w:rsidR="000B4AF6" w:rsidRPr="00771904" w:rsidRDefault="000B4AF6" w:rsidP="000B4AF6">
      <w:pPr>
        <w:spacing w:after="120"/>
        <w:rPr>
          <w:rFonts w:cs="Arial"/>
          <w:b/>
          <w:iCs/>
          <w:sz w:val="20"/>
        </w:rPr>
      </w:pPr>
      <w:r w:rsidRPr="00771904">
        <w:rPr>
          <w:rFonts w:cs="Arial"/>
          <w:b/>
          <w:iCs/>
          <w:sz w:val="20"/>
        </w:rPr>
        <w:t>Overview of the Annual Performance Report Development:</w:t>
      </w:r>
    </w:p>
    <w:p w:rsidR="000B4AF6" w:rsidRPr="00771904" w:rsidRDefault="000B4AF6" w:rsidP="000B4AF6">
      <w:pPr>
        <w:spacing w:after="120"/>
        <w:rPr>
          <w:rFonts w:cs="Arial"/>
          <w:b/>
          <w:iCs/>
          <w:sz w:val="20"/>
        </w:rPr>
      </w:pPr>
      <w:r w:rsidRPr="00771904">
        <w:rPr>
          <w:rFonts w:cs="Arial"/>
        </w:rPr>
        <w:t>Same process as described in Indicator #1.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B4AF6" w:rsidRPr="00771904" w:rsidTr="00CA0057">
        <w:trPr>
          <w:trHeight w:val="728"/>
        </w:trPr>
        <w:tc>
          <w:tcPr>
            <w:tcW w:w="9576" w:type="dxa"/>
            <w:vAlign w:val="center"/>
          </w:tcPr>
          <w:p w:rsidR="000B4AF6" w:rsidRPr="00771904" w:rsidRDefault="000B4AF6" w:rsidP="00CA0057">
            <w:pPr>
              <w:spacing w:before="60" w:after="60"/>
              <w:ind w:left="1987" w:hanging="1987"/>
              <w:rPr>
                <w:rFonts w:cs="Arial"/>
                <w:b/>
                <w:sz w:val="20"/>
                <w:szCs w:val="20"/>
              </w:rPr>
            </w:pPr>
            <w:r w:rsidRPr="00771904">
              <w:rPr>
                <w:rFonts w:cs="Arial"/>
                <w:b/>
                <w:sz w:val="20"/>
                <w:szCs w:val="20"/>
              </w:rPr>
              <w:t>Monitoring Priority:</w:t>
            </w:r>
            <w:r w:rsidRPr="00771904">
              <w:rPr>
                <w:rFonts w:cs="Arial"/>
                <w:b/>
                <w:sz w:val="20"/>
              </w:rPr>
              <w:t xml:space="preserve"> Effective General Supervision Part C / General Supervision</w:t>
            </w:r>
          </w:p>
        </w:tc>
      </w:tr>
      <w:tr w:rsidR="000B4AF6" w:rsidRPr="00771904" w:rsidTr="00CA0057">
        <w:trPr>
          <w:trHeight w:val="728"/>
        </w:trPr>
        <w:tc>
          <w:tcPr>
            <w:tcW w:w="9576" w:type="dxa"/>
            <w:vAlign w:val="center"/>
          </w:tcPr>
          <w:p w:rsidR="000B4AF6" w:rsidRPr="00771904" w:rsidRDefault="000B4AF6" w:rsidP="00CA0057">
            <w:pPr>
              <w:spacing w:before="120" w:after="120"/>
              <w:ind w:hanging="32"/>
              <w:rPr>
                <w:rFonts w:cs="Arial"/>
                <w:sz w:val="20"/>
              </w:rPr>
            </w:pPr>
            <w:r w:rsidRPr="00771904">
              <w:rPr>
                <w:rFonts w:cs="Arial"/>
                <w:b/>
                <w:sz w:val="20"/>
                <w:szCs w:val="20"/>
              </w:rPr>
              <w:t>Indicator 14:</w:t>
            </w:r>
            <w:r w:rsidRPr="00771904">
              <w:rPr>
                <w:rFonts w:cs="Arial"/>
              </w:rPr>
              <w:t xml:space="preserve">  </w:t>
            </w:r>
            <w:r w:rsidRPr="00771904">
              <w:rPr>
                <w:rFonts w:cs="Arial"/>
                <w:sz w:val="20"/>
              </w:rPr>
              <w:t>State reported data (</w:t>
            </w:r>
            <w:r w:rsidR="003263BE" w:rsidRPr="00771904">
              <w:rPr>
                <w:rFonts w:cs="Arial"/>
                <w:sz w:val="20"/>
                <w:szCs w:val="20"/>
              </w:rPr>
              <w:t xml:space="preserve">IDEA Section </w:t>
            </w:r>
            <w:r w:rsidRPr="00771904">
              <w:rPr>
                <w:rFonts w:cs="Arial"/>
                <w:sz w:val="20"/>
              </w:rPr>
              <w:t xml:space="preserve">618 and State Performance Plan and Annual Performance Report) are timely and accurate. </w:t>
            </w:r>
          </w:p>
          <w:p w:rsidR="000B4AF6" w:rsidRPr="00771904" w:rsidRDefault="000B4AF6" w:rsidP="00CA0057">
            <w:pPr>
              <w:spacing w:before="240" w:after="240"/>
              <w:ind w:left="1440" w:hanging="1440"/>
              <w:rPr>
                <w:rFonts w:cs="Arial"/>
                <w:b/>
                <w:sz w:val="20"/>
                <w:szCs w:val="20"/>
              </w:rPr>
            </w:pPr>
            <w:r w:rsidRPr="00771904">
              <w:rPr>
                <w:rFonts w:cs="Arial"/>
                <w:sz w:val="20"/>
              </w:rPr>
              <w:t>(20 U.S.C. 1416(a)(3)(B) and 1442)</w:t>
            </w:r>
          </w:p>
        </w:tc>
      </w:tr>
    </w:tbl>
    <w:p w:rsidR="000B4AF6" w:rsidRPr="00771904" w:rsidRDefault="000B4AF6" w:rsidP="000B4AF6">
      <w:pPr>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00"/>
      </w:tblGrid>
      <w:tr w:rsidR="000B4AF6" w:rsidRPr="00771904" w:rsidTr="00CA0057">
        <w:tc>
          <w:tcPr>
            <w:tcW w:w="9630" w:type="dxa"/>
            <w:gridSpan w:val="2"/>
          </w:tcPr>
          <w:p w:rsidR="000B4AF6" w:rsidRPr="00771904" w:rsidRDefault="000B4AF6" w:rsidP="00CA0057">
            <w:pPr>
              <w:ind w:left="-4"/>
              <w:rPr>
                <w:rFonts w:cs="Arial"/>
                <w:sz w:val="20"/>
                <w:szCs w:val="20"/>
              </w:rPr>
            </w:pPr>
            <w:bookmarkStart w:id="17" w:name="ind14"/>
            <w:bookmarkEnd w:id="17"/>
            <w:r w:rsidRPr="00771904">
              <w:rPr>
                <w:rFonts w:cs="Arial"/>
                <w:b/>
                <w:sz w:val="20"/>
                <w:szCs w:val="20"/>
              </w:rPr>
              <w:t>Measurement:</w:t>
            </w:r>
            <w:r w:rsidRPr="00771904">
              <w:rPr>
                <w:rFonts w:cs="Arial"/>
                <w:sz w:val="20"/>
                <w:szCs w:val="20"/>
              </w:rPr>
              <w:t xml:space="preserve"> State reported data, including </w:t>
            </w:r>
            <w:r w:rsidR="003263BE" w:rsidRPr="00771904">
              <w:rPr>
                <w:rFonts w:cs="Arial"/>
                <w:sz w:val="20"/>
                <w:szCs w:val="20"/>
              </w:rPr>
              <w:t xml:space="preserve">IDEA Section </w:t>
            </w:r>
            <w:r w:rsidRPr="00771904">
              <w:rPr>
                <w:rFonts w:cs="Arial"/>
                <w:sz w:val="20"/>
                <w:szCs w:val="20"/>
              </w:rPr>
              <w:t>618 data, State Performance Plan, and Annual Performance Reports, are:</w:t>
            </w:r>
          </w:p>
          <w:p w:rsidR="000B4AF6" w:rsidRPr="00771904" w:rsidRDefault="000B4AF6" w:rsidP="00BB59EA">
            <w:pPr>
              <w:numPr>
                <w:ilvl w:val="0"/>
                <w:numId w:val="3"/>
              </w:numPr>
              <w:tabs>
                <w:tab w:val="clear" w:pos="552"/>
              </w:tabs>
              <w:ind w:left="396"/>
              <w:rPr>
                <w:rFonts w:cs="Arial"/>
                <w:sz w:val="20"/>
                <w:szCs w:val="20"/>
              </w:rPr>
            </w:pPr>
            <w:r w:rsidRPr="00771904">
              <w:rPr>
                <w:rFonts w:cs="Arial"/>
                <w:sz w:val="20"/>
                <w:szCs w:val="20"/>
              </w:rPr>
              <w:t>Submitted on or before due dates (February 1 for child count and settings and November 1 for exiting and dispute resolution); and</w:t>
            </w:r>
          </w:p>
          <w:p w:rsidR="000B4AF6" w:rsidRPr="00771904" w:rsidRDefault="000B4AF6" w:rsidP="00BB59EA">
            <w:pPr>
              <w:numPr>
                <w:ilvl w:val="0"/>
                <w:numId w:val="3"/>
              </w:numPr>
              <w:tabs>
                <w:tab w:val="clear" w:pos="552"/>
              </w:tabs>
              <w:spacing w:after="120"/>
              <w:ind w:left="403"/>
              <w:rPr>
                <w:rFonts w:cs="Arial"/>
                <w:sz w:val="20"/>
                <w:szCs w:val="20"/>
              </w:rPr>
            </w:pPr>
            <w:r w:rsidRPr="00771904">
              <w:rPr>
                <w:rFonts w:cs="Arial"/>
                <w:sz w:val="20"/>
                <w:szCs w:val="20"/>
              </w:rPr>
              <w:t xml:space="preserve">Accurate, including covering the correct year and following the correct measurement. </w:t>
            </w:r>
          </w:p>
        </w:tc>
      </w:tr>
      <w:tr w:rsidR="000B4AF6" w:rsidRPr="00771904" w:rsidTr="00CA0057">
        <w:trPr>
          <w:trHeight w:val="368"/>
        </w:trPr>
        <w:tc>
          <w:tcPr>
            <w:tcW w:w="1530" w:type="dxa"/>
            <w:vAlign w:val="center"/>
          </w:tcPr>
          <w:p w:rsidR="000B4AF6" w:rsidRPr="00771904" w:rsidRDefault="000B4AF6" w:rsidP="00CA0057">
            <w:pPr>
              <w:jc w:val="center"/>
              <w:rPr>
                <w:rFonts w:cs="Arial"/>
                <w:b/>
                <w:sz w:val="20"/>
                <w:szCs w:val="20"/>
                <w:shd w:val="pct20" w:color="auto" w:fill="auto"/>
              </w:rPr>
            </w:pPr>
            <w:r w:rsidRPr="00771904">
              <w:rPr>
                <w:rFonts w:cs="Arial"/>
                <w:b/>
                <w:sz w:val="20"/>
                <w:szCs w:val="20"/>
              </w:rPr>
              <w:t>FFY1</w:t>
            </w:r>
            <w:r w:rsidR="00AA53A0" w:rsidRPr="00771904">
              <w:rPr>
                <w:rFonts w:cs="Arial"/>
                <w:b/>
                <w:sz w:val="20"/>
                <w:szCs w:val="20"/>
              </w:rPr>
              <w:t>2</w:t>
            </w:r>
          </w:p>
        </w:tc>
        <w:tc>
          <w:tcPr>
            <w:tcW w:w="8100" w:type="dxa"/>
            <w:vAlign w:val="center"/>
          </w:tcPr>
          <w:p w:rsidR="000B4AF6" w:rsidRPr="00771904" w:rsidRDefault="000B4AF6" w:rsidP="00CA0057">
            <w:pPr>
              <w:jc w:val="center"/>
              <w:rPr>
                <w:rFonts w:cs="Arial"/>
                <w:b/>
                <w:sz w:val="20"/>
                <w:szCs w:val="20"/>
              </w:rPr>
            </w:pPr>
            <w:r w:rsidRPr="00771904">
              <w:rPr>
                <w:rFonts w:cs="Arial"/>
                <w:b/>
                <w:sz w:val="20"/>
                <w:szCs w:val="20"/>
              </w:rPr>
              <w:t>Measurable and Rigorous Target</w:t>
            </w:r>
          </w:p>
        </w:tc>
      </w:tr>
      <w:tr w:rsidR="000B4AF6" w:rsidRPr="00771904" w:rsidTr="00CA0057">
        <w:trPr>
          <w:trHeight w:val="710"/>
        </w:trPr>
        <w:tc>
          <w:tcPr>
            <w:tcW w:w="1530" w:type="dxa"/>
            <w:vAlign w:val="center"/>
          </w:tcPr>
          <w:p w:rsidR="000B4AF6" w:rsidRPr="00771904" w:rsidRDefault="002A6A91" w:rsidP="00CA0057">
            <w:pPr>
              <w:jc w:val="center"/>
              <w:rPr>
                <w:rFonts w:cs="Arial"/>
                <w:i/>
                <w:szCs w:val="22"/>
              </w:rPr>
            </w:pPr>
            <w:r w:rsidRPr="00771904">
              <w:rPr>
                <w:rFonts w:cs="Arial"/>
                <w:i/>
                <w:szCs w:val="22"/>
              </w:rPr>
              <w:t>7/1/12-6/30/13</w:t>
            </w:r>
          </w:p>
        </w:tc>
        <w:tc>
          <w:tcPr>
            <w:tcW w:w="8100" w:type="dxa"/>
            <w:vAlign w:val="center"/>
          </w:tcPr>
          <w:p w:rsidR="000B4AF6" w:rsidRPr="00771904" w:rsidRDefault="000B4AF6" w:rsidP="00CA0057">
            <w:pPr>
              <w:jc w:val="center"/>
              <w:rPr>
                <w:rFonts w:cs="Arial"/>
                <w:i/>
                <w:szCs w:val="22"/>
              </w:rPr>
            </w:pPr>
            <w:r w:rsidRPr="00771904">
              <w:rPr>
                <w:rFonts w:cs="Arial"/>
                <w:i/>
                <w:szCs w:val="22"/>
              </w:rPr>
              <w:t>100%</w:t>
            </w:r>
          </w:p>
        </w:tc>
      </w:tr>
    </w:tbl>
    <w:p w:rsidR="000B4AF6" w:rsidRPr="00771904" w:rsidRDefault="000B4AF6" w:rsidP="000B4AF6">
      <w:pPr>
        <w:spacing w:before="120" w:after="120"/>
        <w:ind w:left="360"/>
        <w:rPr>
          <w:rFonts w:cs="Arial"/>
          <w:b/>
          <w:sz w:val="20"/>
          <w:szCs w:val="20"/>
        </w:rPr>
      </w:pPr>
      <w:r w:rsidRPr="00771904">
        <w:rPr>
          <w:rFonts w:cs="Arial"/>
          <w:b/>
          <w:szCs w:val="20"/>
        </w:rPr>
        <w:t xml:space="preserve">Actual Target Data for </w:t>
      </w:r>
      <w:r w:rsidR="00AA53A0" w:rsidRPr="00771904">
        <w:rPr>
          <w:rFonts w:cs="Arial"/>
          <w:b/>
          <w:szCs w:val="20"/>
        </w:rPr>
        <w:t>FFY12</w:t>
      </w:r>
      <w:r w:rsidRPr="00771904">
        <w:rPr>
          <w:rFonts w:cs="Arial"/>
          <w:b/>
          <w:szCs w:val="20"/>
        </w:rPr>
        <w:t xml:space="preserve"> (July 1, 201</w:t>
      </w:r>
      <w:r w:rsidR="00AA53A0" w:rsidRPr="00771904">
        <w:rPr>
          <w:rFonts w:cs="Arial"/>
          <w:b/>
          <w:szCs w:val="20"/>
        </w:rPr>
        <w:t>2</w:t>
      </w:r>
      <w:r w:rsidRPr="00771904">
        <w:rPr>
          <w:rFonts w:cs="Arial"/>
          <w:b/>
          <w:szCs w:val="20"/>
        </w:rPr>
        <w:t>-June 30, 201</w:t>
      </w:r>
      <w:r w:rsidR="00AA53A0" w:rsidRPr="00771904">
        <w:rPr>
          <w:rFonts w:cs="Arial"/>
          <w:b/>
          <w:szCs w:val="20"/>
        </w:rPr>
        <w:t>3</w:t>
      </w:r>
      <w:r w:rsidRPr="00771904">
        <w:rPr>
          <w:rFonts w:cs="Arial"/>
          <w:b/>
          <w:szCs w:val="20"/>
        </w:rPr>
        <w:t>):</w:t>
      </w:r>
      <w:r w:rsidRPr="00771904">
        <w:rPr>
          <w:rFonts w:cs="Arial"/>
          <w:b/>
          <w:sz w:val="20"/>
          <w:szCs w:val="20"/>
        </w:rPr>
        <w:t xml:space="preserve">  </w:t>
      </w:r>
    </w:p>
    <w:p w:rsidR="000B4AF6" w:rsidRPr="00771904" w:rsidRDefault="00995DB6" w:rsidP="000B4AF6">
      <w:pPr>
        <w:pStyle w:val="StyleLeft025"/>
        <w:pBdr>
          <w:top w:val="single" w:sz="4" w:space="1" w:color="auto"/>
          <w:left w:val="single" w:sz="4" w:space="4" w:color="auto"/>
          <w:bottom w:val="single" w:sz="4" w:space="1" w:color="auto"/>
          <w:right w:val="single" w:sz="4" w:space="4" w:color="auto"/>
        </w:pBdr>
        <w:ind w:left="0"/>
        <w:jc w:val="center"/>
        <w:rPr>
          <w:rFonts w:cs="Arial"/>
          <w:szCs w:val="22"/>
        </w:rPr>
      </w:pPr>
      <w:r w:rsidRPr="00771904">
        <w:rPr>
          <w:rFonts w:cs="Arial"/>
          <w:szCs w:val="22"/>
        </w:rPr>
        <w:t>(</w:t>
      </w:r>
      <w:r w:rsidR="000B4AF6" w:rsidRPr="00771904">
        <w:rPr>
          <w:rFonts w:cs="Arial"/>
          <w:szCs w:val="22"/>
        </w:rPr>
        <w:t>100%</w:t>
      </w:r>
      <w:r w:rsidRPr="00771904">
        <w:rPr>
          <w:rFonts w:cs="Arial"/>
          <w:szCs w:val="22"/>
        </w:rPr>
        <w:t>)</w:t>
      </w:r>
    </w:p>
    <w:p w:rsidR="00027A5C" w:rsidRPr="00771904" w:rsidRDefault="00027A5C" w:rsidP="00027A5C">
      <w:pPr>
        <w:rPr>
          <w:rFonts w:cs="Arial"/>
          <w:szCs w:val="22"/>
        </w:rPr>
      </w:pPr>
    </w:p>
    <w:p w:rsidR="00D413E4" w:rsidRPr="00771904" w:rsidRDefault="00995DB6" w:rsidP="00027A5C">
      <w:pPr>
        <w:rPr>
          <w:rFonts w:cs="Arial"/>
          <w:szCs w:val="22"/>
        </w:rPr>
      </w:pPr>
      <w:r w:rsidRPr="00771904">
        <w:rPr>
          <w:rFonts w:cs="Arial"/>
          <w:szCs w:val="22"/>
        </w:rPr>
        <w:t xml:space="preserve">The Lead Agency, per </w:t>
      </w:r>
      <w:r w:rsidR="00823E44" w:rsidRPr="00771904">
        <w:rPr>
          <w:rFonts w:cs="Arial"/>
          <w:szCs w:val="22"/>
        </w:rPr>
        <w:t xml:space="preserve">the </w:t>
      </w:r>
      <w:r w:rsidRPr="00771904">
        <w:rPr>
          <w:rFonts w:cs="Arial"/>
          <w:szCs w:val="22"/>
        </w:rPr>
        <w:t>O</w:t>
      </w:r>
      <w:r w:rsidR="00823E44" w:rsidRPr="00771904">
        <w:rPr>
          <w:rFonts w:cs="Arial"/>
          <w:szCs w:val="22"/>
        </w:rPr>
        <w:t xml:space="preserve">ffice of </w:t>
      </w:r>
      <w:r w:rsidRPr="00771904">
        <w:rPr>
          <w:rFonts w:cs="Arial"/>
          <w:szCs w:val="22"/>
        </w:rPr>
        <w:t>S</w:t>
      </w:r>
      <w:r w:rsidR="00823E44" w:rsidRPr="00771904">
        <w:rPr>
          <w:rFonts w:cs="Arial"/>
          <w:szCs w:val="22"/>
        </w:rPr>
        <w:t xml:space="preserve">pecial </w:t>
      </w:r>
      <w:r w:rsidRPr="00771904">
        <w:rPr>
          <w:rFonts w:cs="Arial"/>
          <w:szCs w:val="22"/>
        </w:rPr>
        <w:t>E</w:t>
      </w:r>
      <w:r w:rsidR="00823E44" w:rsidRPr="00771904">
        <w:rPr>
          <w:rFonts w:cs="Arial"/>
          <w:szCs w:val="22"/>
        </w:rPr>
        <w:t xml:space="preserve">ducation </w:t>
      </w:r>
      <w:r w:rsidRPr="00771904">
        <w:rPr>
          <w:rFonts w:cs="Arial"/>
          <w:szCs w:val="22"/>
        </w:rPr>
        <w:t>P</w:t>
      </w:r>
      <w:r w:rsidR="00823E44" w:rsidRPr="00771904">
        <w:rPr>
          <w:rFonts w:cs="Arial"/>
          <w:szCs w:val="22"/>
        </w:rPr>
        <w:t>rograms (OSEP)</w:t>
      </w:r>
      <w:r w:rsidRPr="00771904">
        <w:rPr>
          <w:rFonts w:cs="Arial"/>
          <w:szCs w:val="22"/>
        </w:rPr>
        <w:t xml:space="preserve"> instruction in the 2014 Part C State Performance Plan (SPP) and Annual Performance Report (APR) Part C Indicator Measurement Table, is not reporting data for this indicator for the initial FFY 2012 APR submission due February 15, 2014.  </w:t>
      </w:r>
    </w:p>
    <w:p w:rsidR="000B4AF6" w:rsidRPr="00771904" w:rsidRDefault="000B4AF6" w:rsidP="00D413E4">
      <w:pPr>
        <w:spacing w:before="120" w:after="120"/>
        <w:rPr>
          <w:rFonts w:cs="Arial"/>
          <w:b/>
          <w:szCs w:val="22"/>
        </w:rPr>
      </w:pPr>
      <w:r w:rsidRPr="00771904">
        <w:rPr>
          <w:rFonts w:cs="Arial"/>
          <w:b/>
          <w:szCs w:val="22"/>
        </w:rPr>
        <w:t xml:space="preserve">Discussion of Improvement Activities Completed </w:t>
      </w:r>
      <w:r w:rsidRPr="00771904">
        <w:rPr>
          <w:rFonts w:cs="Arial"/>
          <w:b/>
          <w:szCs w:val="22"/>
          <w:u w:val="single"/>
        </w:rPr>
        <w:t>and</w:t>
      </w:r>
      <w:r w:rsidRPr="00771904">
        <w:rPr>
          <w:rFonts w:cs="Arial"/>
          <w:b/>
          <w:szCs w:val="22"/>
        </w:rPr>
        <w:t xml:space="preserve"> Explanation of Progress or </w:t>
      </w:r>
      <w:r w:rsidR="00AA53A0" w:rsidRPr="00771904">
        <w:rPr>
          <w:rFonts w:cs="Arial"/>
          <w:b/>
          <w:szCs w:val="22"/>
        </w:rPr>
        <w:t>Slippage that occurred for FFY12</w:t>
      </w:r>
      <w:r w:rsidRPr="00771904">
        <w:rPr>
          <w:rFonts w:cs="Arial"/>
          <w:b/>
          <w:szCs w:val="22"/>
        </w:rPr>
        <w:t xml:space="preserve"> </w:t>
      </w:r>
      <w:r w:rsidR="00AA53A0" w:rsidRPr="00771904">
        <w:rPr>
          <w:rFonts w:cs="Arial"/>
          <w:b/>
          <w:szCs w:val="22"/>
        </w:rPr>
        <w:t>(July 1, 2012-June 30, 2013)</w:t>
      </w:r>
      <w:r w:rsidRPr="00771904">
        <w:rPr>
          <w:rFonts w:cs="Arial"/>
          <w:b/>
          <w:szCs w:val="22"/>
        </w:rPr>
        <w:t>:</w:t>
      </w:r>
    </w:p>
    <w:p w:rsidR="00027A5C" w:rsidRPr="00771904" w:rsidRDefault="00027A5C" w:rsidP="00027A5C">
      <w:pPr>
        <w:rPr>
          <w:rFonts w:cs="Arial"/>
          <w:szCs w:val="22"/>
        </w:rPr>
      </w:pPr>
      <w:r w:rsidRPr="00771904">
        <w:rPr>
          <w:rFonts w:cs="Arial"/>
          <w:szCs w:val="22"/>
        </w:rPr>
        <w:t xml:space="preserve">The lead agency will review and respond to </w:t>
      </w:r>
      <w:r w:rsidR="00823E44" w:rsidRPr="00771904">
        <w:rPr>
          <w:rFonts w:cs="Arial"/>
          <w:szCs w:val="22"/>
        </w:rPr>
        <w:t xml:space="preserve">the </w:t>
      </w:r>
      <w:r w:rsidRPr="00771904">
        <w:rPr>
          <w:rFonts w:cs="Arial"/>
          <w:szCs w:val="22"/>
        </w:rPr>
        <w:t xml:space="preserve">OSEP’s calculation of Connecticut’s data on this indicator when it is received from </w:t>
      </w:r>
      <w:r w:rsidR="00823E44" w:rsidRPr="00771904">
        <w:rPr>
          <w:rFonts w:cs="Arial"/>
          <w:szCs w:val="22"/>
        </w:rPr>
        <w:t xml:space="preserve">the </w:t>
      </w:r>
      <w:r w:rsidRPr="00771904">
        <w:rPr>
          <w:rFonts w:cs="Arial"/>
          <w:szCs w:val="22"/>
        </w:rPr>
        <w:t xml:space="preserve">OSEP. Discussion of progress/slippage and improvement activities, if required, will be included after </w:t>
      </w:r>
      <w:r w:rsidR="003263BE" w:rsidRPr="00771904">
        <w:rPr>
          <w:rFonts w:cs="Arial"/>
          <w:szCs w:val="22"/>
        </w:rPr>
        <w:t xml:space="preserve">the </w:t>
      </w:r>
      <w:r w:rsidRPr="00771904">
        <w:rPr>
          <w:rFonts w:cs="Arial"/>
          <w:szCs w:val="22"/>
        </w:rPr>
        <w:t xml:space="preserve">OSEP calculation has been reviewed. </w:t>
      </w:r>
    </w:p>
    <w:p w:rsidR="00027A5C" w:rsidRPr="00771904" w:rsidRDefault="00027A5C" w:rsidP="00027A5C">
      <w:pPr>
        <w:rPr>
          <w:rFonts w:cs="Arial"/>
          <w:szCs w:val="22"/>
        </w:rPr>
      </w:pPr>
    </w:p>
    <w:p w:rsidR="00BA40CE" w:rsidRPr="00771904" w:rsidRDefault="00764BF9" w:rsidP="00BA40CE">
      <w:pPr>
        <w:rPr>
          <w:rFonts w:cs="Arial"/>
        </w:rPr>
      </w:pPr>
      <w:r w:rsidRPr="00771904">
        <w:rPr>
          <w:rFonts w:cs="Arial"/>
          <w:szCs w:val="22"/>
        </w:rPr>
        <w:t xml:space="preserve">Detailed information about the actions Connecticut is taking to ensure compliance is included throughout the </w:t>
      </w:r>
      <w:hyperlink r:id="rId30" w:history="1">
        <w:r w:rsidRPr="00771904">
          <w:rPr>
            <w:rStyle w:val="Hyperlink"/>
            <w:rFonts w:cs="Arial"/>
            <w:szCs w:val="22"/>
          </w:rPr>
          <w:t>State Performance Plan</w:t>
        </w:r>
      </w:hyperlink>
      <w:r w:rsidRPr="00771904">
        <w:rPr>
          <w:rStyle w:val="Hyperlink"/>
          <w:rFonts w:cs="Arial"/>
          <w:szCs w:val="22"/>
        </w:rPr>
        <w:t xml:space="preserve"> </w:t>
      </w:r>
      <w:r w:rsidR="00BA40CE" w:rsidRPr="00771904">
        <w:rPr>
          <w:rStyle w:val="Hyperlink"/>
          <w:rFonts w:cs="Arial"/>
          <w:szCs w:val="22"/>
        </w:rPr>
        <w:t xml:space="preserve">(SPP) </w:t>
      </w:r>
      <w:r w:rsidRPr="00771904">
        <w:rPr>
          <w:rFonts w:cs="Arial"/>
          <w:szCs w:val="22"/>
        </w:rPr>
        <w:t xml:space="preserve">including a description of Connecticut’s mechanisms for ensuring error-free, consistent, valid and reliable data and evidence that these standards are met.  </w:t>
      </w:r>
      <w:r w:rsidR="00BA40CE" w:rsidRPr="00771904">
        <w:rPr>
          <w:rFonts w:cs="Arial"/>
          <w:szCs w:val="22"/>
        </w:rPr>
        <w:t xml:space="preserve">The link to the SPP can be found </w:t>
      </w:r>
      <w:r w:rsidR="00BA40CE" w:rsidRPr="00771904">
        <w:rPr>
          <w:rFonts w:cs="Arial"/>
        </w:rPr>
        <w:t xml:space="preserve">at </w:t>
      </w:r>
      <w:hyperlink r:id="rId31" w:history="1">
        <w:r w:rsidR="00BA40CE" w:rsidRPr="00771904">
          <w:rPr>
            <w:rStyle w:val="Hyperlink"/>
            <w:rFonts w:cs="Arial"/>
          </w:rPr>
          <w:t>Birth23.org</w:t>
        </w:r>
      </w:hyperlink>
      <w:r w:rsidR="003263BE" w:rsidRPr="00771904">
        <w:rPr>
          <w:rFonts w:cs="Arial"/>
        </w:rPr>
        <w:t xml:space="preserve"> under </w:t>
      </w:r>
      <w:hyperlink r:id="rId32" w:history="1">
        <w:r w:rsidR="00787FDE" w:rsidRPr="00771904">
          <w:rPr>
            <w:rStyle w:val="Hyperlink"/>
            <w:rFonts w:cs="Arial"/>
          </w:rPr>
          <w:t>“How are we doing?”</w:t>
        </w:r>
      </w:hyperlink>
      <w:r w:rsidR="00BA40CE" w:rsidRPr="00771904">
        <w:rPr>
          <w:rFonts w:cs="Arial"/>
        </w:rPr>
        <w:t xml:space="preserve"> </w:t>
      </w:r>
      <w:proofErr w:type="gramStart"/>
      <w:r w:rsidR="00BA40CE" w:rsidRPr="00771904">
        <w:rPr>
          <w:rFonts w:cs="Arial"/>
        </w:rPr>
        <w:t>on</w:t>
      </w:r>
      <w:proofErr w:type="gramEnd"/>
      <w:r w:rsidR="00BA40CE" w:rsidRPr="00771904">
        <w:rPr>
          <w:rFonts w:cs="Arial"/>
        </w:rPr>
        <w:t xml:space="preserve"> the left</w:t>
      </w:r>
      <w:r w:rsidR="003263BE" w:rsidRPr="00771904">
        <w:rPr>
          <w:rFonts w:cs="Arial"/>
        </w:rPr>
        <w:t>-hand</w:t>
      </w:r>
      <w:r w:rsidR="00BA40CE" w:rsidRPr="00771904">
        <w:rPr>
          <w:rFonts w:cs="Arial"/>
        </w:rPr>
        <w:t xml:space="preserve"> menu.  </w:t>
      </w:r>
    </w:p>
    <w:p w:rsidR="00BA40CE" w:rsidRPr="00771904" w:rsidRDefault="00BA40CE" w:rsidP="00BA40CE">
      <w:pPr>
        <w:rPr>
          <w:rFonts w:cs="Arial"/>
        </w:rPr>
      </w:pPr>
    </w:p>
    <w:p w:rsidR="00764BF9" w:rsidRPr="00771904" w:rsidRDefault="00BA40CE" w:rsidP="00BA40CE">
      <w:pPr>
        <w:rPr>
          <w:rFonts w:cs="Arial"/>
          <w:szCs w:val="22"/>
        </w:rPr>
      </w:pPr>
      <w:r w:rsidRPr="00771904">
        <w:rPr>
          <w:rFonts w:cs="Arial"/>
        </w:rPr>
        <w:t xml:space="preserve">The direct link is </w:t>
      </w:r>
      <w:hyperlink r:id="rId33" w:history="1">
        <w:r w:rsidRPr="00771904">
          <w:rPr>
            <w:rStyle w:val="Hyperlink"/>
            <w:rFonts w:cs="Arial"/>
          </w:rPr>
          <w:t>http://www.birth23.org/accountability/spp/</w:t>
        </w:r>
      </w:hyperlink>
      <w:r w:rsidRPr="00771904">
        <w:rPr>
          <w:rFonts w:cs="Arial"/>
        </w:rPr>
        <w:t>.</w:t>
      </w:r>
    </w:p>
    <w:p w:rsidR="00027A5C" w:rsidRPr="00771904" w:rsidRDefault="00027A5C" w:rsidP="00027A5C">
      <w:pPr>
        <w:rPr>
          <w:rFonts w:cs="Arial"/>
          <w:szCs w:val="22"/>
        </w:rPr>
      </w:pPr>
    </w:p>
    <w:p w:rsidR="000B4AF6" w:rsidRPr="00771904" w:rsidRDefault="000B4AF6" w:rsidP="00027A5C">
      <w:pPr>
        <w:rPr>
          <w:rFonts w:cs="Arial"/>
          <w:i/>
          <w:szCs w:val="22"/>
        </w:rPr>
      </w:pPr>
      <w:r w:rsidRPr="00771904">
        <w:rPr>
          <w:rFonts w:cs="Arial"/>
          <w:b/>
          <w:szCs w:val="22"/>
        </w:rPr>
        <w:t xml:space="preserve">Revisions, </w:t>
      </w:r>
      <w:r w:rsidRPr="00771904">
        <w:rPr>
          <w:rFonts w:cs="Arial"/>
          <w:b/>
          <w:szCs w:val="22"/>
          <w:u w:val="single"/>
        </w:rPr>
        <w:t>with Justification</w:t>
      </w:r>
      <w:r w:rsidRPr="00771904">
        <w:rPr>
          <w:rFonts w:cs="Arial"/>
          <w:b/>
          <w:szCs w:val="22"/>
        </w:rPr>
        <w:t xml:space="preserve">, to Proposed Targets / Improvement Activities / Timelines / Resources for FFY12 (July 1, 2012-June 30, 2013) </w:t>
      </w:r>
      <w:r w:rsidRPr="00771904">
        <w:rPr>
          <w:rFonts w:cs="Arial"/>
          <w:i/>
          <w:szCs w:val="22"/>
        </w:rPr>
        <w:t>[If applicable]</w:t>
      </w:r>
    </w:p>
    <w:p w:rsidR="00027A5C" w:rsidRPr="00771904" w:rsidRDefault="00027A5C" w:rsidP="00027A5C">
      <w:pPr>
        <w:rPr>
          <w:rFonts w:cs="Arial"/>
          <w:b/>
          <w:szCs w:val="22"/>
        </w:rPr>
      </w:pPr>
    </w:p>
    <w:p w:rsidR="000B4AF6" w:rsidRPr="00771904" w:rsidRDefault="000B4AF6" w:rsidP="00027A5C">
      <w:pPr>
        <w:pStyle w:val="StyleLeft025"/>
        <w:ind w:left="0"/>
        <w:rPr>
          <w:rFonts w:cs="Arial"/>
        </w:rPr>
      </w:pPr>
      <w:r w:rsidRPr="00771904">
        <w:rPr>
          <w:rFonts w:cs="Arial"/>
        </w:rPr>
        <w:t>No revisions at this time</w:t>
      </w:r>
    </w:p>
    <w:p w:rsidR="006E74E4" w:rsidRPr="00771904" w:rsidRDefault="000B4AF6" w:rsidP="000B4AF6">
      <w:pPr>
        <w:jc w:val="center"/>
        <w:rPr>
          <w:rFonts w:cs="Arial"/>
          <w:b/>
          <w:color w:val="000000"/>
          <w:szCs w:val="22"/>
        </w:rPr>
      </w:pPr>
      <w:r w:rsidRPr="00771904">
        <w:rPr>
          <w:rFonts w:cs="Arial"/>
          <w:szCs w:val="22"/>
        </w:rPr>
        <w:br w:type="page"/>
      </w:r>
      <w:bookmarkStart w:id="18" w:name="attA"/>
      <w:bookmarkEnd w:id="18"/>
      <w:r w:rsidR="0082775E" w:rsidRPr="00771904">
        <w:rPr>
          <w:rFonts w:cs="Arial"/>
          <w:b/>
          <w:color w:val="000000"/>
          <w:szCs w:val="22"/>
        </w:rPr>
        <w:lastRenderedPageBreak/>
        <w:t>Attach</w:t>
      </w:r>
      <w:r w:rsidR="00C65AB9" w:rsidRPr="00771904">
        <w:rPr>
          <w:rFonts w:cs="Arial"/>
          <w:b/>
          <w:color w:val="000000"/>
          <w:szCs w:val="22"/>
        </w:rPr>
        <w:t>ment A</w:t>
      </w:r>
    </w:p>
    <w:p w:rsidR="007E5327" w:rsidRPr="00771904" w:rsidRDefault="00C65AB9" w:rsidP="00C65AB9">
      <w:pPr>
        <w:jc w:val="center"/>
        <w:rPr>
          <w:rFonts w:cs="Arial"/>
          <w:b/>
          <w:color w:val="000000"/>
          <w:szCs w:val="22"/>
        </w:rPr>
      </w:pPr>
      <w:r w:rsidRPr="00771904">
        <w:rPr>
          <w:rFonts w:cs="Arial"/>
          <w:b/>
          <w:color w:val="000000"/>
          <w:szCs w:val="22"/>
        </w:rPr>
        <w:t>INDICATOR C-9 WORKSHEET</w:t>
      </w:r>
    </w:p>
    <w:p w:rsidR="007E5327" w:rsidRPr="00771904" w:rsidRDefault="007E5327" w:rsidP="00C65AB9">
      <w:pPr>
        <w:jc w:val="center"/>
        <w:rPr>
          <w:rFonts w:cs="Arial"/>
          <w:b/>
          <w:color w:val="000000"/>
          <w:szCs w:val="22"/>
        </w:rPr>
      </w:pPr>
    </w:p>
    <w:p w:rsidR="00C65AB9" w:rsidRPr="00771904" w:rsidRDefault="007E5327" w:rsidP="007E5327">
      <w:pPr>
        <w:ind w:left="-810"/>
        <w:rPr>
          <w:rFonts w:cs="Arial"/>
          <w:color w:val="000000"/>
          <w:szCs w:val="22"/>
        </w:rPr>
      </w:pPr>
      <w:r w:rsidRPr="00771904">
        <w:rPr>
          <w:rFonts w:cs="Arial"/>
          <w:color w:val="000000"/>
          <w:szCs w:val="22"/>
        </w:rPr>
        <w:t>The findings in the table include all those made about any related requirements for each indicator so the number may not match the number reported under each indicator as those findings are specific only to the measurement for that indicator</w:t>
      </w:r>
      <w:r w:rsidR="00CA7C67" w:rsidRPr="00771904">
        <w:rPr>
          <w:rFonts w:cs="Arial"/>
          <w:color w:val="000000"/>
          <w:szCs w:val="22"/>
        </w:rPr>
        <w:t>.</w:t>
      </w:r>
    </w:p>
    <w:p w:rsidR="00CA7C67" w:rsidRPr="00771904" w:rsidRDefault="00CA7C67" w:rsidP="007E5327">
      <w:pPr>
        <w:ind w:left="-810"/>
        <w:rPr>
          <w:rFonts w:cs="Arial"/>
          <w:b/>
          <w:color w:val="000000"/>
          <w:szCs w:val="22"/>
        </w:rPr>
      </w:pPr>
    </w:p>
    <w:tbl>
      <w:tblPr>
        <w:tblW w:w="10890" w:type="dxa"/>
        <w:tblInd w:w="-702"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2095"/>
        <w:gridCol w:w="1506"/>
        <w:gridCol w:w="1830"/>
        <w:gridCol w:w="2010"/>
      </w:tblGrid>
      <w:tr w:rsidR="00C65AB9" w:rsidRPr="00771904" w:rsidTr="00882D8C">
        <w:trPr>
          <w:cantSplit/>
          <w:trHeight w:val="2697"/>
          <w:tblHeader/>
        </w:trPr>
        <w:tc>
          <w:tcPr>
            <w:tcW w:w="3449" w:type="dxa"/>
            <w:tcBorders>
              <w:top w:val="double" w:sz="4" w:space="0" w:color="auto"/>
              <w:left w:val="double" w:sz="4" w:space="0" w:color="auto"/>
              <w:right w:val="double" w:sz="4" w:space="0" w:color="auto"/>
            </w:tcBorders>
            <w:vAlign w:val="center"/>
          </w:tcPr>
          <w:p w:rsidR="00C65AB9" w:rsidRPr="00771904" w:rsidRDefault="00882D8C" w:rsidP="00882D8C">
            <w:pPr>
              <w:rPr>
                <w:rFonts w:cs="Arial"/>
                <w:b/>
                <w:color w:val="000000"/>
                <w:szCs w:val="22"/>
              </w:rPr>
            </w:pPr>
            <w:r w:rsidRPr="00771904">
              <w:rPr>
                <w:rFonts w:cs="Arial"/>
                <w:b/>
                <w:color w:val="000000"/>
                <w:szCs w:val="22"/>
              </w:rPr>
              <w:t xml:space="preserve">State Performance Plan </w:t>
            </w:r>
            <w:r w:rsidR="00C65AB9" w:rsidRPr="00771904">
              <w:rPr>
                <w:rFonts w:cs="Arial"/>
                <w:b/>
                <w:color w:val="000000"/>
                <w:szCs w:val="22"/>
              </w:rPr>
              <w:t>Indicator</w:t>
            </w:r>
            <w:r w:rsidRPr="00771904">
              <w:rPr>
                <w:rFonts w:cs="Arial"/>
                <w:b/>
                <w:color w:val="000000"/>
                <w:szCs w:val="22"/>
              </w:rPr>
              <w:t xml:space="preserve"> Description</w:t>
            </w:r>
          </w:p>
        </w:tc>
        <w:tc>
          <w:tcPr>
            <w:tcW w:w="2095" w:type="dxa"/>
            <w:tcBorders>
              <w:top w:val="double" w:sz="4" w:space="0" w:color="auto"/>
              <w:left w:val="double" w:sz="4" w:space="0" w:color="auto"/>
              <w:right w:val="double" w:sz="4" w:space="0" w:color="auto"/>
            </w:tcBorders>
            <w:vAlign w:val="center"/>
          </w:tcPr>
          <w:p w:rsidR="00C65AB9" w:rsidRPr="00771904" w:rsidRDefault="00C65AB9" w:rsidP="00E11FD2">
            <w:pPr>
              <w:rPr>
                <w:rFonts w:cs="Arial"/>
                <w:b/>
                <w:color w:val="000000"/>
                <w:szCs w:val="22"/>
              </w:rPr>
            </w:pPr>
            <w:r w:rsidRPr="00771904">
              <w:rPr>
                <w:rFonts w:cs="Arial"/>
                <w:b/>
                <w:color w:val="000000"/>
                <w:szCs w:val="22"/>
              </w:rPr>
              <w:t>General Supervision System Components</w:t>
            </w:r>
          </w:p>
        </w:tc>
        <w:tc>
          <w:tcPr>
            <w:tcW w:w="1506" w:type="dxa"/>
            <w:tcBorders>
              <w:top w:val="double" w:sz="4" w:space="0" w:color="auto"/>
              <w:left w:val="double" w:sz="4" w:space="0" w:color="auto"/>
              <w:right w:val="double" w:sz="4" w:space="0" w:color="auto"/>
            </w:tcBorders>
            <w:vAlign w:val="center"/>
          </w:tcPr>
          <w:p w:rsidR="00C65AB9" w:rsidRPr="00771904" w:rsidRDefault="00C65AB9" w:rsidP="00B85CCD">
            <w:pPr>
              <w:rPr>
                <w:rFonts w:cs="Arial"/>
                <w:b/>
                <w:color w:val="000000"/>
                <w:szCs w:val="22"/>
              </w:rPr>
            </w:pPr>
            <w:r w:rsidRPr="00771904">
              <w:rPr>
                <w:rFonts w:cs="Arial"/>
                <w:b/>
                <w:color w:val="000000"/>
                <w:szCs w:val="22"/>
              </w:rPr>
              <w:t># of EIS Prog</w:t>
            </w:r>
            <w:r w:rsidR="008F14A8" w:rsidRPr="00771904">
              <w:rPr>
                <w:rFonts w:cs="Arial"/>
                <w:b/>
                <w:color w:val="000000"/>
                <w:szCs w:val="22"/>
              </w:rPr>
              <w:t>rams Issued Findings in FFY 20</w:t>
            </w:r>
            <w:r w:rsidR="004B708E" w:rsidRPr="00771904">
              <w:rPr>
                <w:rFonts w:cs="Arial"/>
                <w:b/>
                <w:color w:val="000000"/>
                <w:szCs w:val="22"/>
              </w:rPr>
              <w:t>1</w:t>
            </w:r>
            <w:r w:rsidR="00B85CCD" w:rsidRPr="00771904">
              <w:rPr>
                <w:rFonts w:cs="Arial"/>
                <w:b/>
                <w:color w:val="000000"/>
                <w:szCs w:val="22"/>
              </w:rPr>
              <w:t>1</w:t>
            </w:r>
            <w:r w:rsidR="008F14A8" w:rsidRPr="00771904">
              <w:rPr>
                <w:rFonts w:cs="Arial"/>
                <w:b/>
                <w:color w:val="000000"/>
                <w:szCs w:val="22"/>
              </w:rPr>
              <w:t xml:space="preserve"> (7/1/</w:t>
            </w:r>
            <w:r w:rsidR="004B708E" w:rsidRPr="00771904">
              <w:rPr>
                <w:rFonts w:cs="Arial"/>
                <w:b/>
                <w:color w:val="000000"/>
                <w:szCs w:val="22"/>
              </w:rPr>
              <w:t>1</w:t>
            </w:r>
            <w:r w:rsidR="00B85CCD" w:rsidRPr="00771904">
              <w:rPr>
                <w:rFonts w:cs="Arial"/>
                <w:b/>
                <w:color w:val="000000"/>
                <w:szCs w:val="22"/>
              </w:rPr>
              <w:t>1</w:t>
            </w:r>
            <w:r w:rsidR="008F14A8" w:rsidRPr="00771904">
              <w:rPr>
                <w:rFonts w:cs="Arial"/>
                <w:b/>
                <w:color w:val="000000"/>
                <w:szCs w:val="22"/>
              </w:rPr>
              <w:t xml:space="preserve"> through 6/30/</w:t>
            </w:r>
            <w:r w:rsidR="004B708E" w:rsidRPr="00771904">
              <w:rPr>
                <w:rFonts w:cs="Arial"/>
                <w:b/>
                <w:color w:val="000000"/>
                <w:szCs w:val="22"/>
              </w:rPr>
              <w:t>1</w:t>
            </w:r>
            <w:r w:rsidR="00B85CCD" w:rsidRPr="00771904">
              <w:rPr>
                <w:rFonts w:cs="Arial"/>
                <w:b/>
                <w:color w:val="000000"/>
                <w:szCs w:val="22"/>
              </w:rPr>
              <w:t>2</w:t>
            </w:r>
            <w:r w:rsidRPr="00771904">
              <w:rPr>
                <w:rFonts w:cs="Arial"/>
                <w:b/>
                <w:color w:val="000000"/>
                <w:szCs w:val="22"/>
              </w:rPr>
              <w:t xml:space="preserve">) </w:t>
            </w:r>
          </w:p>
        </w:tc>
        <w:tc>
          <w:tcPr>
            <w:tcW w:w="1830" w:type="dxa"/>
            <w:tcBorders>
              <w:top w:val="double" w:sz="4" w:space="0" w:color="auto"/>
              <w:left w:val="double" w:sz="4" w:space="0" w:color="auto"/>
              <w:right w:val="double" w:sz="4" w:space="0" w:color="auto"/>
            </w:tcBorders>
            <w:vAlign w:val="center"/>
          </w:tcPr>
          <w:p w:rsidR="00C65AB9" w:rsidRPr="00771904" w:rsidRDefault="00C65AB9" w:rsidP="00B85CCD">
            <w:pPr>
              <w:rPr>
                <w:rFonts w:cs="Arial"/>
                <w:b/>
                <w:color w:val="000000"/>
                <w:szCs w:val="22"/>
              </w:rPr>
            </w:pPr>
            <w:r w:rsidRPr="00771904">
              <w:rPr>
                <w:rFonts w:cs="Arial"/>
                <w:b/>
                <w:color w:val="000000"/>
                <w:szCs w:val="22"/>
              </w:rPr>
              <w:t xml:space="preserve">(a) # of Findings of noncompliance </w:t>
            </w:r>
            <w:r w:rsidR="004F1A25" w:rsidRPr="00771904">
              <w:rPr>
                <w:rFonts w:cs="Arial"/>
                <w:b/>
                <w:color w:val="000000"/>
                <w:szCs w:val="22"/>
                <w:u w:color="FF0000"/>
              </w:rPr>
              <w:t>identified</w:t>
            </w:r>
            <w:r w:rsidRPr="00771904">
              <w:rPr>
                <w:rFonts w:cs="Arial"/>
                <w:b/>
                <w:color w:val="000000"/>
                <w:szCs w:val="22"/>
              </w:rPr>
              <w:t xml:space="preserve"> in FFY 20</w:t>
            </w:r>
            <w:r w:rsidR="004B708E" w:rsidRPr="00771904">
              <w:rPr>
                <w:rFonts w:cs="Arial"/>
                <w:b/>
                <w:color w:val="000000"/>
                <w:szCs w:val="22"/>
              </w:rPr>
              <w:t>1</w:t>
            </w:r>
            <w:r w:rsidR="00B85CCD" w:rsidRPr="00771904">
              <w:rPr>
                <w:rFonts w:cs="Arial"/>
                <w:b/>
                <w:color w:val="000000"/>
                <w:szCs w:val="22"/>
              </w:rPr>
              <w:t>1</w:t>
            </w:r>
            <w:r w:rsidR="00F953EF" w:rsidRPr="00771904">
              <w:rPr>
                <w:rFonts w:cs="Arial"/>
                <w:b/>
                <w:color w:val="000000"/>
                <w:szCs w:val="22"/>
              </w:rPr>
              <w:t xml:space="preserve">  (7/1/</w:t>
            </w:r>
            <w:r w:rsidR="004B708E" w:rsidRPr="00771904">
              <w:rPr>
                <w:rFonts w:cs="Arial"/>
                <w:b/>
                <w:color w:val="000000"/>
                <w:szCs w:val="22"/>
              </w:rPr>
              <w:t>1</w:t>
            </w:r>
            <w:r w:rsidR="00B85CCD" w:rsidRPr="00771904">
              <w:rPr>
                <w:rFonts w:cs="Arial"/>
                <w:b/>
                <w:color w:val="000000"/>
                <w:szCs w:val="22"/>
              </w:rPr>
              <w:t>1</w:t>
            </w:r>
            <w:r w:rsidR="008F14A8" w:rsidRPr="00771904">
              <w:rPr>
                <w:rFonts w:cs="Arial"/>
                <w:b/>
                <w:color w:val="000000"/>
                <w:szCs w:val="22"/>
              </w:rPr>
              <w:t xml:space="preserve"> through 6/30/</w:t>
            </w:r>
            <w:r w:rsidR="004B708E" w:rsidRPr="00771904">
              <w:rPr>
                <w:rFonts w:cs="Arial"/>
                <w:b/>
                <w:color w:val="000000"/>
                <w:szCs w:val="22"/>
              </w:rPr>
              <w:t>1</w:t>
            </w:r>
            <w:r w:rsidR="00B85CCD" w:rsidRPr="00771904">
              <w:rPr>
                <w:rFonts w:cs="Arial"/>
                <w:b/>
                <w:color w:val="000000"/>
                <w:szCs w:val="22"/>
              </w:rPr>
              <w:t>2</w:t>
            </w:r>
            <w:r w:rsidRPr="00771904">
              <w:rPr>
                <w:rFonts w:cs="Arial"/>
                <w:b/>
                <w:color w:val="000000"/>
                <w:szCs w:val="22"/>
              </w:rPr>
              <w:t>)</w:t>
            </w:r>
          </w:p>
        </w:tc>
        <w:tc>
          <w:tcPr>
            <w:tcW w:w="2010" w:type="dxa"/>
            <w:tcBorders>
              <w:top w:val="double" w:sz="4" w:space="0" w:color="auto"/>
              <w:left w:val="double" w:sz="4" w:space="0" w:color="auto"/>
              <w:right w:val="double" w:sz="4" w:space="0" w:color="auto"/>
            </w:tcBorders>
            <w:vAlign w:val="center"/>
          </w:tcPr>
          <w:p w:rsidR="00C65AB9" w:rsidRPr="00771904" w:rsidRDefault="00C65AB9" w:rsidP="00E11FD2">
            <w:pPr>
              <w:rPr>
                <w:rFonts w:cs="Arial"/>
                <w:b/>
                <w:color w:val="000000"/>
                <w:szCs w:val="22"/>
              </w:rPr>
            </w:pPr>
            <w:r w:rsidRPr="00771904">
              <w:rPr>
                <w:rFonts w:cs="Arial"/>
                <w:b/>
                <w:color w:val="000000"/>
                <w:szCs w:val="22"/>
              </w:rPr>
              <w:t>(b)  #  of Findings of noncompliance from (a) for which correction was verified no later than one year from identification</w:t>
            </w:r>
          </w:p>
        </w:tc>
      </w:tr>
      <w:tr w:rsidR="00FA3BFB" w:rsidRPr="00771904" w:rsidTr="00E93C62">
        <w:trPr>
          <w:cantSplit/>
          <w:trHeight w:val="1437"/>
        </w:trPr>
        <w:tc>
          <w:tcPr>
            <w:tcW w:w="3449" w:type="dxa"/>
            <w:vMerge w:val="restart"/>
            <w:tcBorders>
              <w:top w:val="double" w:sz="4" w:space="0" w:color="auto"/>
              <w:bottom w:val="nil"/>
            </w:tcBorders>
            <w:vAlign w:val="center"/>
          </w:tcPr>
          <w:p w:rsidR="00FA3BFB" w:rsidRPr="00771904" w:rsidRDefault="00FA3BFB" w:rsidP="00BB59EA">
            <w:pPr>
              <w:numPr>
                <w:ilvl w:val="0"/>
                <w:numId w:val="6"/>
              </w:numPr>
              <w:spacing w:before="120"/>
              <w:ind w:left="346"/>
              <w:rPr>
                <w:rFonts w:cs="Arial"/>
                <w:i/>
                <w:color w:val="000000"/>
                <w:szCs w:val="22"/>
              </w:rPr>
            </w:pPr>
            <w:r w:rsidRPr="00771904">
              <w:rPr>
                <w:rFonts w:cs="Arial"/>
                <w:i/>
                <w:color w:val="000000"/>
                <w:szCs w:val="22"/>
              </w:rPr>
              <w:br w:type="page"/>
              <w:t>Percent of infants and toddlers with IFSPs who receive the early intervention services on their IFSPs in a timely manner</w:t>
            </w:r>
          </w:p>
        </w:tc>
        <w:tc>
          <w:tcPr>
            <w:tcW w:w="2095" w:type="dxa"/>
            <w:tcBorders>
              <w:top w:val="doub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top w:val="double" w:sz="4" w:space="0" w:color="auto"/>
            </w:tcBorders>
            <w:vAlign w:val="center"/>
          </w:tcPr>
          <w:p w:rsidR="00FA3BFB" w:rsidRPr="00771904" w:rsidRDefault="00FA29A5" w:rsidP="00E11FD2">
            <w:pPr>
              <w:jc w:val="center"/>
              <w:rPr>
                <w:rFonts w:cs="Arial"/>
                <w:color w:val="000000" w:themeColor="text1"/>
                <w:szCs w:val="22"/>
              </w:rPr>
            </w:pPr>
            <w:r w:rsidRPr="00771904">
              <w:rPr>
                <w:rFonts w:cs="Arial"/>
                <w:color w:val="000000" w:themeColor="text1"/>
                <w:szCs w:val="22"/>
              </w:rPr>
              <w:t>2</w:t>
            </w:r>
          </w:p>
        </w:tc>
        <w:tc>
          <w:tcPr>
            <w:tcW w:w="1830" w:type="dxa"/>
            <w:tcBorders>
              <w:top w:val="double" w:sz="4" w:space="0" w:color="auto"/>
            </w:tcBorders>
            <w:vAlign w:val="center"/>
          </w:tcPr>
          <w:p w:rsidR="00FA3BFB" w:rsidRPr="00771904" w:rsidRDefault="00FA29A5" w:rsidP="00FA3BFB">
            <w:pPr>
              <w:jc w:val="center"/>
              <w:rPr>
                <w:rFonts w:cs="Arial"/>
                <w:color w:val="000000" w:themeColor="text1"/>
                <w:szCs w:val="22"/>
              </w:rPr>
            </w:pPr>
            <w:r w:rsidRPr="00771904">
              <w:rPr>
                <w:rFonts w:cs="Arial"/>
                <w:color w:val="000000" w:themeColor="text1"/>
                <w:szCs w:val="22"/>
              </w:rPr>
              <w:t>4</w:t>
            </w:r>
          </w:p>
        </w:tc>
        <w:tc>
          <w:tcPr>
            <w:tcW w:w="2010" w:type="dxa"/>
            <w:tcBorders>
              <w:top w:val="double" w:sz="4" w:space="0" w:color="auto"/>
            </w:tcBorders>
            <w:vAlign w:val="center"/>
          </w:tcPr>
          <w:p w:rsidR="00FA3BFB" w:rsidRPr="00771904" w:rsidRDefault="00FA29A5" w:rsidP="00FA3BFB">
            <w:pPr>
              <w:jc w:val="center"/>
              <w:rPr>
                <w:rFonts w:cs="Arial"/>
                <w:color w:val="000000" w:themeColor="text1"/>
                <w:szCs w:val="22"/>
              </w:rPr>
            </w:pPr>
            <w:r w:rsidRPr="00771904">
              <w:rPr>
                <w:rFonts w:cs="Arial"/>
                <w:color w:val="000000" w:themeColor="text1"/>
                <w:szCs w:val="22"/>
              </w:rPr>
              <w:t>4</w:t>
            </w:r>
          </w:p>
        </w:tc>
      </w:tr>
      <w:tr w:rsidR="00FA3BFB" w:rsidRPr="00771904" w:rsidTr="00E93C62">
        <w:trPr>
          <w:cantSplit/>
          <w:trHeight w:val="755"/>
        </w:trPr>
        <w:tc>
          <w:tcPr>
            <w:tcW w:w="3449" w:type="dxa"/>
            <w:vMerge/>
            <w:tcBorders>
              <w:bottom w:val="single" w:sz="4" w:space="0" w:color="auto"/>
            </w:tcBorders>
            <w:vAlign w:val="center"/>
          </w:tcPr>
          <w:p w:rsidR="00FA3BFB" w:rsidRPr="00771904" w:rsidRDefault="00FA3BFB" w:rsidP="0068734F">
            <w:pPr>
              <w:ind w:left="342" w:hanging="270"/>
              <w:rPr>
                <w:rFonts w:cs="Arial"/>
                <w:i/>
                <w:color w:val="000000"/>
                <w:szCs w:val="22"/>
              </w:rPr>
            </w:pP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vAlign w:val="center"/>
          </w:tcPr>
          <w:p w:rsidR="00FA3BFB" w:rsidRPr="00771904" w:rsidRDefault="00FA29A5" w:rsidP="00E11FD2">
            <w:pPr>
              <w:jc w:val="center"/>
              <w:rPr>
                <w:rFonts w:cs="Arial"/>
                <w:color w:val="000000" w:themeColor="text1"/>
                <w:szCs w:val="22"/>
              </w:rPr>
            </w:pPr>
            <w:r w:rsidRPr="00771904">
              <w:rPr>
                <w:rFonts w:cs="Arial"/>
                <w:color w:val="000000" w:themeColor="text1"/>
                <w:szCs w:val="22"/>
              </w:rPr>
              <w:t>1</w:t>
            </w:r>
          </w:p>
        </w:tc>
        <w:tc>
          <w:tcPr>
            <w:tcW w:w="1830" w:type="dxa"/>
            <w:vAlign w:val="center"/>
          </w:tcPr>
          <w:p w:rsidR="00FA3BFB" w:rsidRPr="00771904" w:rsidRDefault="00FA29A5" w:rsidP="00FA3BFB">
            <w:pPr>
              <w:jc w:val="center"/>
              <w:rPr>
                <w:rFonts w:cs="Arial"/>
                <w:color w:val="000000" w:themeColor="text1"/>
                <w:szCs w:val="22"/>
              </w:rPr>
            </w:pPr>
            <w:r w:rsidRPr="00771904">
              <w:rPr>
                <w:rFonts w:cs="Arial"/>
                <w:color w:val="000000" w:themeColor="text1"/>
                <w:szCs w:val="22"/>
              </w:rPr>
              <w:t>1</w:t>
            </w:r>
          </w:p>
        </w:tc>
        <w:tc>
          <w:tcPr>
            <w:tcW w:w="2010" w:type="dxa"/>
            <w:vAlign w:val="center"/>
          </w:tcPr>
          <w:p w:rsidR="00FA3BFB" w:rsidRPr="00771904" w:rsidRDefault="00FA29A5" w:rsidP="00FA3BFB">
            <w:pPr>
              <w:jc w:val="center"/>
              <w:rPr>
                <w:rFonts w:cs="Arial"/>
                <w:color w:val="000000" w:themeColor="text1"/>
                <w:szCs w:val="22"/>
              </w:rPr>
            </w:pPr>
            <w:r w:rsidRPr="00771904">
              <w:rPr>
                <w:rFonts w:cs="Arial"/>
                <w:color w:val="000000" w:themeColor="text1"/>
                <w:szCs w:val="22"/>
              </w:rPr>
              <w:t>1</w:t>
            </w:r>
          </w:p>
        </w:tc>
      </w:tr>
      <w:tr w:rsidR="00FA3BFB" w:rsidRPr="00771904" w:rsidTr="00E93C62">
        <w:trPr>
          <w:cantSplit/>
          <w:trHeight w:val="1421"/>
        </w:trPr>
        <w:tc>
          <w:tcPr>
            <w:tcW w:w="3449" w:type="dxa"/>
            <w:vMerge w:val="restart"/>
            <w:tcBorders>
              <w:top w:val="single" w:sz="4" w:space="0" w:color="auto"/>
              <w:bottom w:val="single" w:sz="4" w:space="0" w:color="auto"/>
            </w:tcBorders>
            <w:vAlign w:val="center"/>
          </w:tcPr>
          <w:p w:rsidR="00FA3BFB" w:rsidRPr="00771904" w:rsidRDefault="00FA3BFB" w:rsidP="0068734F">
            <w:pPr>
              <w:tabs>
                <w:tab w:val="num" w:pos="360"/>
              </w:tabs>
              <w:spacing w:before="120"/>
              <w:ind w:left="346" w:hanging="360"/>
              <w:rPr>
                <w:rFonts w:cs="Arial"/>
                <w:i/>
                <w:color w:val="000000"/>
                <w:szCs w:val="22"/>
              </w:rPr>
            </w:pPr>
            <w:r w:rsidRPr="00771904">
              <w:rPr>
                <w:rFonts w:cs="Arial"/>
                <w:i/>
                <w:color w:val="000000"/>
                <w:szCs w:val="22"/>
              </w:rPr>
              <w:t>2.</w:t>
            </w:r>
            <w:r w:rsidRPr="00771904">
              <w:rPr>
                <w:rFonts w:cs="Arial"/>
                <w:i/>
                <w:color w:val="000000"/>
                <w:szCs w:val="22"/>
              </w:rPr>
              <w:tab/>
            </w:r>
            <w:r w:rsidRPr="00771904">
              <w:rPr>
                <w:rStyle w:val="Strong"/>
                <w:rFonts w:cs="Arial"/>
                <w:b w:val="0"/>
                <w:bCs w:val="0"/>
                <w:i/>
                <w:color w:val="000000"/>
                <w:szCs w:val="22"/>
              </w:rPr>
              <w:t>Percent of infants and toddlers with IFSPs who primarily receive early intervention services in the home or community-based settings</w:t>
            </w:r>
          </w:p>
        </w:tc>
        <w:tc>
          <w:tcPr>
            <w:tcW w:w="2095" w:type="dxa"/>
            <w:tcBorders>
              <w:top w:val="single" w:sz="4" w:space="0" w:color="auto"/>
              <w:bottom w:val="sing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top w:val="single" w:sz="4" w:space="0" w:color="auto"/>
              <w:bottom w:val="single" w:sz="4" w:space="0" w:color="auto"/>
            </w:tcBorders>
            <w:vAlign w:val="center"/>
          </w:tcPr>
          <w:p w:rsidR="00FA3BFB" w:rsidRPr="00771904" w:rsidRDefault="000C326C" w:rsidP="00E11FD2">
            <w:pPr>
              <w:jc w:val="center"/>
              <w:rPr>
                <w:rFonts w:cs="Arial"/>
                <w:color w:val="000000" w:themeColor="text1"/>
                <w:szCs w:val="22"/>
              </w:rPr>
            </w:pPr>
            <w:r w:rsidRPr="00771904">
              <w:rPr>
                <w:rFonts w:cs="Arial"/>
                <w:color w:val="000000" w:themeColor="text1"/>
                <w:szCs w:val="22"/>
              </w:rPr>
              <w:t>1</w:t>
            </w:r>
          </w:p>
        </w:tc>
        <w:tc>
          <w:tcPr>
            <w:tcW w:w="1830" w:type="dxa"/>
            <w:tcBorders>
              <w:top w:val="single" w:sz="4" w:space="0" w:color="auto"/>
              <w:bottom w:val="single" w:sz="4" w:space="0" w:color="auto"/>
            </w:tcBorders>
            <w:vAlign w:val="center"/>
          </w:tcPr>
          <w:p w:rsidR="00FA3BFB" w:rsidRPr="00771904" w:rsidRDefault="000C326C" w:rsidP="00FA3BFB">
            <w:pPr>
              <w:jc w:val="center"/>
              <w:rPr>
                <w:rFonts w:cs="Arial"/>
                <w:color w:val="000000" w:themeColor="text1"/>
                <w:szCs w:val="22"/>
              </w:rPr>
            </w:pPr>
            <w:r w:rsidRPr="00771904">
              <w:rPr>
                <w:rFonts w:cs="Arial"/>
                <w:color w:val="000000" w:themeColor="text1"/>
                <w:szCs w:val="22"/>
              </w:rPr>
              <w:t>1</w:t>
            </w:r>
          </w:p>
        </w:tc>
        <w:tc>
          <w:tcPr>
            <w:tcW w:w="2010" w:type="dxa"/>
            <w:tcBorders>
              <w:top w:val="single" w:sz="4" w:space="0" w:color="auto"/>
              <w:bottom w:val="single" w:sz="4" w:space="0" w:color="auto"/>
            </w:tcBorders>
            <w:vAlign w:val="center"/>
          </w:tcPr>
          <w:p w:rsidR="00FA3BFB" w:rsidRPr="00771904" w:rsidRDefault="000C326C" w:rsidP="00FA3BFB">
            <w:pPr>
              <w:jc w:val="center"/>
              <w:rPr>
                <w:rFonts w:cs="Arial"/>
                <w:color w:val="000000" w:themeColor="text1"/>
                <w:szCs w:val="22"/>
              </w:rPr>
            </w:pPr>
            <w:r w:rsidRPr="00771904">
              <w:rPr>
                <w:rFonts w:cs="Arial"/>
                <w:color w:val="000000" w:themeColor="text1"/>
                <w:szCs w:val="22"/>
              </w:rPr>
              <w:t>1</w:t>
            </w:r>
          </w:p>
        </w:tc>
      </w:tr>
      <w:tr w:rsidR="00FA3BFB" w:rsidRPr="00771904" w:rsidTr="00E93C62">
        <w:trPr>
          <w:cantSplit/>
          <w:trHeight w:val="899"/>
        </w:trPr>
        <w:tc>
          <w:tcPr>
            <w:tcW w:w="3449" w:type="dxa"/>
            <w:vMerge/>
            <w:tcBorders>
              <w:bottom w:val="single" w:sz="4" w:space="0" w:color="auto"/>
            </w:tcBorders>
            <w:vAlign w:val="center"/>
          </w:tcPr>
          <w:p w:rsidR="00FA3BFB" w:rsidRPr="00771904" w:rsidRDefault="00FA3BFB" w:rsidP="0068734F">
            <w:pPr>
              <w:ind w:left="342" w:hanging="270"/>
              <w:rPr>
                <w:rFonts w:cs="Arial"/>
                <w:i/>
                <w:color w:val="000000"/>
                <w:szCs w:val="22"/>
              </w:rPr>
            </w:pPr>
          </w:p>
        </w:tc>
        <w:tc>
          <w:tcPr>
            <w:tcW w:w="2095" w:type="dxa"/>
            <w:tcBorders>
              <w:bottom w:val="sing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tcBorders>
              <w:bottom w:val="single" w:sz="4" w:space="0" w:color="auto"/>
            </w:tcBorders>
            <w:vAlign w:val="center"/>
          </w:tcPr>
          <w:p w:rsidR="00FA3BFB" w:rsidRPr="00771904" w:rsidRDefault="00FA3BFB" w:rsidP="00E11FD2">
            <w:pPr>
              <w:jc w:val="center"/>
              <w:rPr>
                <w:rFonts w:cs="Arial"/>
                <w:color w:val="000000" w:themeColor="text1"/>
                <w:szCs w:val="22"/>
              </w:rPr>
            </w:pPr>
          </w:p>
        </w:tc>
        <w:tc>
          <w:tcPr>
            <w:tcW w:w="1830" w:type="dxa"/>
            <w:tcBorders>
              <w:bottom w:val="single" w:sz="4" w:space="0" w:color="auto"/>
            </w:tcBorders>
            <w:vAlign w:val="center"/>
          </w:tcPr>
          <w:p w:rsidR="00FA3BFB" w:rsidRPr="00771904" w:rsidRDefault="00FA3BFB" w:rsidP="00FA3BFB">
            <w:pPr>
              <w:jc w:val="center"/>
              <w:rPr>
                <w:rFonts w:cs="Arial"/>
                <w:color w:val="000000" w:themeColor="text1"/>
                <w:szCs w:val="22"/>
              </w:rPr>
            </w:pPr>
          </w:p>
        </w:tc>
        <w:tc>
          <w:tcPr>
            <w:tcW w:w="2010" w:type="dxa"/>
            <w:tcBorders>
              <w:bottom w:val="single" w:sz="4" w:space="0" w:color="auto"/>
            </w:tcBorders>
            <w:vAlign w:val="center"/>
          </w:tcPr>
          <w:p w:rsidR="00FA3BFB" w:rsidRPr="00771904" w:rsidRDefault="00FA3BFB" w:rsidP="00FA3BFB">
            <w:pPr>
              <w:jc w:val="center"/>
              <w:rPr>
                <w:rFonts w:cs="Arial"/>
                <w:color w:val="000000" w:themeColor="text1"/>
                <w:szCs w:val="22"/>
              </w:rPr>
            </w:pPr>
          </w:p>
        </w:tc>
      </w:tr>
      <w:tr w:rsidR="00FA3BFB" w:rsidRPr="00771904" w:rsidTr="00E93C62">
        <w:tblPrEx>
          <w:tblBorders>
            <w:bottom w:val="single" w:sz="4" w:space="0" w:color="auto"/>
          </w:tblBorders>
        </w:tblPrEx>
        <w:trPr>
          <w:cantSplit/>
          <w:trHeight w:val="1446"/>
        </w:trPr>
        <w:tc>
          <w:tcPr>
            <w:tcW w:w="3449" w:type="dxa"/>
            <w:vMerge w:val="restart"/>
            <w:tcBorders>
              <w:top w:val="single" w:sz="4" w:space="0" w:color="auto"/>
            </w:tcBorders>
            <w:vAlign w:val="center"/>
          </w:tcPr>
          <w:p w:rsidR="00FA3BFB" w:rsidRPr="00771904" w:rsidRDefault="00FA3BFB" w:rsidP="00BB59EA">
            <w:pPr>
              <w:pStyle w:val="Header"/>
              <w:numPr>
                <w:ilvl w:val="0"/>
                <w:numId w:val="5"/>
              </w:numPr>
              <w:tabs>
                <w:tab w:val="clear" w:pos="720"/>
                <w:tab w:val="clear" w:pos="4320"/>
                <w:tab w:val="clear" w:pos="8640"/>
              </w:tabs>
              <w:spacing w:before="120"/>
              <w:ind w:left="346"/>
              <w:rPr>
                <w:rFonts w:cs="Arial"/>
                <w:i/>
                <w:color w:val="000000"/>
                <w:szCs w:val="22"/>
              </w:rPr>
            </w:pPr>
            <w:r w:rsidRPr="00771904">
              <w:rPr>
                <w:rFonts w:cs="Arial"/>
                <w:i/>
                <w:color w:val="000000"/>
                <w:szCs w:val="22"/>
              </w:rPr>
              <w:t>Percent of infants and toddlers with IFSPs who demonstrate improved outcomes</w:t>
            </w:r>
          </w:p>
        </w:tc>
        <w:tc>
          <w:tcPr>
            <w:tcW w:w="2095" w:type="dxa"/>
            <w:tcBorders>
              <w:top w:val="single" w:sz="4" w:space="0" w:color="auto"/>
              <w:bottom w:val="sing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top w:val="single" w:sz="4" w:space="0" w:color="auto"/>
              <w:bottom w:val="single" w:sz="4" w:space="0" w:color="auto"/>
            </w:tcBorders>
            <w:vAlign w:val="center"/>
          </w:tcPr>
          <w:p w:rsidR="00FA3BFB" w:rsidRPr="00771904" w:rsidRDefault="00253D40" w:rsidP="00E11FD2">
            <w:pPr>
              <w:jc w:val="center"/>
              <w:rPr>
                <w:rFonts w:cs="Arial"/>
                <w:color w:val="000000" w:themeColor="text1"/>
                <w:szCs w:val="22"/>
              </w:rPr>
            </w:pPr>
            <w:r w:rsidRPr="00771904">
              <w:rPr>
                <w:rFonts w:cs="Arial"/>
                <w:color w:val="000000" w:themeColor="text1"/>
                <w:szCs w:val="22"/>
              </w:rPr>
              <w:t>1</w:t>
            </w:r>
          </w:p>
        </w:tc>
        <w:tc>
          <w:tcPr>
            <w:tcW w:w="1830" w:type="dxa"/>
            <w:tcBorders>
              <w:top w:val="single" w:sz="4" w:space="0" w:color="auto"/>
              <w:bottom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2</w:t>
            </w:r>
          </w:p>
        </w:tc>
        <w:tc>
          <w:tcPr>
            <w:tcW w:w="2010" w:type="dxa"/>
            <w:tcBorders>
              <w:top w:val="single" w:sz="4" w:space="0" w:color="auto"/>
              <w:bottom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2</w:t>
            </w:r>
          </w:p>
        </w:tc>
      </w:tr>
      <w:tr w:rsidR="00FA3BFB" w:rsidRPr="00771904" w:rsidTr="00E93C62">
        <w:tblPrEx>
          <w:tblBorders>
            <w:bottom w:val="single" w:sz="4" w:space="0" w:color="auto"/>
          </w:tblBorders>
        </w:tblPrEx>
        <w:trPr>
          <w:cantSplit/>
          <w:trHeight w:val="872"/>
        </w:trPr>
        <w:tc>
          <w:tcPr>
            <w:tcW w:w="3449" w:type="dxa"/>
            <w:vMerge/>
            <w:vAlign w:val="center"/>
          </w:tcPr>
          <w:p w:rsidR="00FA3BFB" w:rsidRPr="00771904" w:rsidRDefault="00FA3BFB" w:rsidP="0068734F">
            <w:pPr>
              <w:ind w:left="342" w:hanging="342"/>
              <w:rPr>
                <w:rFonts w:cs="Arial"/>
                <w:i/>
                <w:color w:val="000000"/>
                <w:szCs w:val="22"/>
              </w:rPr>
            </w:pPr>
          </w:p>
        </w:tc>
        <w:tc>
          <w:tcPr>
            <w:tcW w:w="2095" w:type="dxa"/>
            <w:tcBorders>
              <w:top w:val="sing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tcBorders>
              <w:top w:val="single" w:sz="4" w:space="0" w:color="auto"/>
            </w:tcBorders>
            <w:vAlign w:val="center"/>
          </w:tcPr>
          <w:p w:rsidR="00FA3BFB" w:rsidRPr="00771904" w:rsidRDefault="00FA3BFB" w:rsidP="00E11FD2">
            <w:pPr>
              <w:jc w:val="center"/>
              <w:rPr>
                <w:rFonts w:cs="Arial"/>
                <w:color w:val="000000" w:themeColor="text1"/>
                <w:szCs w:val="22"/>
              </w:rPr>
            </w:pPr>
          </w:p>
        </w:tc>
        <w:tc>
          <w:tcPr>
            <w:tcW w:w="1830" w:type="dxa"/>
            <w:tcBorders>
              <w:top w:val="single" w:sz="4" w:space="0" w:color="auto"/>
            </w:tcBorders>
            <w:vAlign w:val="center"/>
          </w:tcPr>
          <w:p w:rsidR="00FA3BFB" w:rsidRPr="00771904" w:rsidRDefault="00FA3BFB" w:rsidP="00FA3BFB">
            <w:pPr>
              <w:jc w:val="center"/>
              <w:rPr>
                <w:rFonts w:cs="Arial"/>
                <w:color w:val="000000" w:themeColor="text1"/>
                <w:szCs w:val="22"/>
              </w:rPr>
            </w:pPr>
          </w:p>
        </w:tc>
        <w:tc>
          <w:tcPr>
            <w:tcW w:w="2010" w:type="dxa"/>
            <w:tcBorders>
              <w:top w:val="single" w:sz="4" w:space="0" w:color="auto"/>
            </w:tcBorders>
            <w:vAlign w:val="center"/>
          </w:tcPr>
          <w:p w:rsidR="00FA3BFB" w:rsidRPr="00771904" w:rsidRDefault="00FA3BFB" w:rsidP="00FA3BFB">
            <w:pPr>
              <w:jc w:val="center"/>
              <w:rPr>
                <w:rFonts w:cs="Arial"/>
                <w:color w:val="000000" w:themeColor="text1"/>
                <w:szCs w:val="22"/>
              </w:rPr>
            </w:pPr>
          </w:p>
        </w:tc>
      </w:tr>
      <w:tr w:rsidR="00FA3BFB" w:rsidRPr="00771904" w:rsidTr="00E93C62">
        <w:tblPrEx>
          <w:tblBorders>
            <w:bottom w:val="single" w:sz="4" w:space="0" w:color="auto"/>
          </w:tblBorders>
        </w:tblPrEx>
        <w:trPr>
          <w:cantSplit/>
          <w:trHeight w:val="1538"/>
        </w:trPr>
        <w:tc>
          <w:tcPr>
            <w:tcW w:w="3449" w:type="dxa"/>
            <w:vMerge w:val="restart"/>
            <w:vAlign w:val="center"/>
          </w:tcPr>
          <w:p w:rsidR="00FA3BFB" w:rsidRPr="00771904" w:rsidRDefault="00FA3BFB" w:rsidP="0068734F">
            <w:pPr>
              <w:spacing w:before="120"/>
              <w:ind w:left="346" w:hanging="360"/>
              <w:rPr>
                <w:rFonts w:cs="Arial"/>
                <w:i/>
                <w:color w:val="000000"/>
                <w:szCs w:val="22"/>
              </w:rPr>
            </w:pPr>
            <w:r w:rsidRPr="00771904">
              <w:rPr>
                <w:rFonts w:cs="Arial"/>
                <w:i/>
                <w:color w:val="000000"/>
                <w:szCs w:val="22"/>
              </w:rPr>
              <w:lastRenderedPageBreak/>
              <w:t>4.</w:t>
            </w:r>
            <w:r w:rsidRPr="00771904">
              <w:rPr>
                <w:rFonts w:cs="Arial"/>
                <w:i/>
                <w:color w:val="000000"/>
                <w:szCs w:val="22"/>
              </w:rPr>
              <w:tab/>
              <w:t>Percent of families participating in Part C who report that early intervention services have helped the family</w:t>
            </w: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vAlign w:val="center"/>
          </w:tcPr>
          <w:p w:rsidR="00FA3BFB" w:rsidRPr="00771904" w:rsidRDefault="00FA3BFB" w:rsidP="00E11FD2">
            <w:pPr>
              <w:jc w:val="center"/>
              <w:rPr>
                <w:rFonts w:cs="Arial"/>
                <w:color w:val="000000" w:themeColor="text1"/>
                <w:szCs w:val="22"/>
              </w:rPr>
            </w:pPr>
          </w:p>
        </w:tc>
        <w:tc>
          <w:tcPr>
            <w:tcW w:w="1830" w:type="dxa"/>
            <w:vAlign w:val="center"/>
          </w:tcPr>
          <w:p w:rsidR="00FA3BFB" w:rsidRPr="00771904" w:rsidRDefault="00FA3BFB" w:rsidP="00FA3BFB">
            <w:pPr>
              <w:jc w:val="center"/>
              <w:rPr>
                <w:rFonts w:cs="Arial"/>
                <w:color w:val="000000" w:themeColor="text1"/>
                <w:szCs w:val="22"/>
              </w:rPr>
            </w:pPr>
          </w:p>
        </w:tc>
        <w:tc>
          <w:tcPr>
            <w:tcW w:w="2010" w:type="dxa"/>
            <w:vAlign w:val="center"/>
          </w:tcPr>
          <w:p w:rsidR="00FA3BFB" w:rsidRPr="00771904" w:rsidRDefault="00FA3BFB" w:rsidP="00FA3BFB">
            <w:pPr>
              <w:jc w:val="center"/>
              <w:rPr>
                <w:rFonts w:cs="Arial"/>
                <w:color w:val="000000" w:themeColor="text1"/>
                <w:szCs w:val="22"/>
              </w:rPr>
            </w:pPr>
          </w:p>
        </w:tc>
      </w:tr>
      <w:tr w:rsidR="00FA3BFB" w:rsidRPr="00771904" w:rsidTr="00E93C62">
        <w:tblPrEx>
          <w:tblBorders>
            <w:bottom w:val="single" w:sz="4" w:space="0" w:color="auto"/>
          </w:tblBorders>
        </w:tblPrEx>
        <w:trPr>
          <w:cantSplit/>
          <w:trHeight w:val="647"/>
        </w:trPr>
        <w:tc>
          <w:tcPr>
            <w:tcW w:w="3449" w:type="dxa"/>
            <w:vMerge/>
            <w:vAlign w:val="center"/>
          </w:tcPr>
          <w:p w:rsidR="00FA3BFB" w:rsidRPr="00771904" w:rsidRDefault="00FA3BFB" w:rsidP="00BB59EA">
            <w:pPr>
              <w:numPr>
                <w:ilvl w:val="0"/>
                <w:numId w:val="4"/>
              </w:numPr>
              <w:ind w:left="342" w:hanging="342"/>
              <w:rPr>
                <w:rFonts w:cs="Arial"/>
                <w:i/>
                <w:color w:val="000000"/>
                <w:szCs w:val="22"/>
              </w:rPr>
            </w:pP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vAlign w:val="center"/>
          </w:tcPr>
          <w:p w:rsidR="00FA3BFB" w:rsidRPr="00771904" w:rsidRDefault="00FA3BFB" w:rsidP="00E11FD2">
            <w:pPr>
              <w:jc w:val="center"/>
              <w:rPr>
                <w:rFonts w:cs="Arial"/>
                <w:color w:val="000000" w:themeColor="text1"/>
                <w:szCs w:val="22"/>
              </w:rPr>
            </w:pPr>
          </w:p>
        </w:tc>
        <w:tc>
          <w:tcPr>
            <w:tcW w:w="1830" w:type="dxa"/>
            <w:vAlign w:val="center"/>
          </w:tcPr>
          <w:p w:rsidR="00FA3BFB" w:rsidRPr="00771904" w:rsidRDefault="00FA3BFB" w:rsidP="00FA3BFB">
            <w:pPr>
              <w:jc w:val="center"/>
              <w:rPr>
                <w:rFonts w:cs="Arial"/>
                <w:color w:val="000000" w:themeColor="text1"/>
                <w:szCs w:val="22"/>
              </w:rPr>
            </w:pPr>
          </w:p>
        </w:tc>
        <w:tc>
          <w:tcPr>
            <w:tcW w:w="2010" w:type="dxa"/>
            <w:vAlign w:val="center"/>
          </w:tcPr>
          <w:p w:rsidR="00FA3BFB" w:rsidRPr="00771904" w:rsidRDefault="00FA3BFB" w:rsidP="00FA3BFB">
            <w:pPr>
              <w:jc w:val="center"/>
              <w:rPr>
                <w:rFonts w:cs="Arial"/>
                <w:color w:val="000000" w:themeColor="text1"/>
                <w:szCs w:val="22"/>
              </w:rPr>
            </w:pPr>
          </w:p>
        </w:tc>
      </w:tr>
      <w:tr w:rsidR="00FA3BFB" w:rsidRPr="00771904" w:rsidTr="00E93C62">
        <w:tblPrEx>
          <w:tblBorders>
            <w:top w:val="double" w:sz="4" w:space="0" w:color="auto"/>
            <w:bottom w:val="single" w:sz="4" w:space="0" w:color="auto"/>
          </w:tblBorders>
        </w:tblPrEx>
        <w:trPr>
          <w:cantSplit/>
          <w:trHeight w:val="713"/>
        </w:trPr>
        <w:tc>
          <w:tcPr>
            <w:tcW w:w="3449" w:type="dxa"/>
            <w:vMerge w:val="restart"/>
            <w:tcBorders>
              <w:top w:val="single" w:sz="4" w:space="0" w:color="auto"/>
            </w:tcBorders>
            <w:vAlign w:val="center"/>
          </w:tcPr>
          <w:p w:rsidR="00E93C62" w:rsidRPr="00771904" w:rsidRDefault="00E93C62" w:rsidP="00E93C62">
            <w:pPr>
              <w:pStyle w:val="Header"/>
              <w:spacing w:before="120" w:after="240"/>
              <w:ind w:left="346" w:hanging="360"/>
              <w:rPr>
                <w:rFonts w:cs="Arial"/>
                <w:i/>
                <w:sz w:val="24"/>
              </w:rPr>
            </w:pPr>
            <w:r w:rsidRPr="00771904">
              <w:rPr>
                <w:rFonts w:cs="Arial"/>
                <w:i/>
                <w:sz w:val="24"/>
              </w:rPr>
              <w:t>5.</w:t>
            </w:r>
            <w:r w:rsidRPr="00771904">
              <w:rPr>
                <w:rFonts w:cs="Arial"/>
                <w:i/>
                <w:sz w:val="24"/>
              </w:rPr>
              <w:tab/>
              <w:t xml:space="preserve">Percent of infants and toddlers birth to 1 with IFSPs </w:t>
            </w:r>
          </w:p>
          <w:p w:rsidR="00FA3BFB" w:rsidRPr="00771904" w:rsidRDefault="00E93C62" w:rsidP="00E93C62">
            <w:pPr>
              <w:pStyle w:val="Header"/>
              <w:spacing w:before="120"/>
              <w:ind w:left="346" w:hanging="360"/>
              <w:rPr>
                <w:rFonts w:cs="Arial"/>
                <w:i/>
                <w:color w:val="000000"/>
                <w:szCs w:val="22"/>
              </w:rPr>
            </w:pPr>
            <w:r w:rsidRPr="00771904">
              <w:rPr>
                <w:rFonts w:cs="Arial"/>
                <w:i/>
                <w:sz w:val="24"/>
              </w:rPr>
              <w:t>6.</w:t>
            </w:r>
            <w:r w:rsidRPr="00771904">
              <w:rPr>
                <w:rFonts w:cs="Arial"/>
                <w:i/>
                <w:sz w:val="24"/>
              </w:rPr>
              <w:tab/>
              <w:t>Percent of infants and toddlers birth to 3 with IFSPs</w:t>
            </w:r>
          </w:p>
        </w:tc>
        <w:tc>
          <w:tcPr>
            <w:tcW w:w="2095" w:type="dxa"/>
            <w:tcBorders>
              <w:top w:val="sing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top w:val="single" w:sz="4" w:space="0" w:color="auto"/>
            </w:tcBorders>
            <w:vAlign w:val="center"/>
          </w:tcPr>
          <w:p w:rsidR="00FA3BFB" w:rsidRPr="00771904" w:rsidRDefault="00253D40" w:rsidP="00E11FD2">
            <w:pPr>
              <w:pStyle w:val="styleleft0250"/>
              <w:spacing w:before="0" w:beforeAutospacing="0" w:after="0" w:afterAutospacing="0"/>
              <w:jc w:val="center"/>
              <w:rPr>
                <w:rFonts w:ascii="Arial" w:hAnsi="Arial" w:cs="Arial"/>
                <w:color w:val="000000" w:themeColor="text1"/>
                <w:sz w:val="22"/>
                <w:szCs w:val="22"/>
              </w:rPr>
            </w:pPr>
            <w:r w:rsidRPr="00771904">
              <w:rPr>
                <w:rFonts w:ascii="Arial" w:hAnsi="Arial" w:cs="Arial"/>
                <w:color w:val="000000" w:themeColor="text1"/>
                <w:sz w:val="22"/>
                <w:szCs w:val="22"/>
              </w:rPr>
              <w:t>2</w:t>
            </w:r>
          </w:p>
        </w:tc>
        <w:tc>
          <w:tcPr>
            <w:tcW w:w="183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4</w:t>
            </w:r>
          </w:p>
        </w:tc>
        <w:tc>
          <w:tcPr>
            <w:tcW w:w="201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4</w:t>
            </w:r>
          </w:p>
        </w:tc>
      </w:tr>
      <w:tr w:rsidR="00FA3BFB" w:rsidRPr="00771904" w:rsidTr="00E93C62">
        <w:tblPrEx>
          <w:tblBorders>
            <w:top w:val="double" w:sz="4" w:space="0" w:color="auto"/>
            <w:bottom w:val="single" w:sz="4" w:space="0" w:color="auto"/>
          </w:tblBorders>
        </w:tblPrEx>
        <w:trPr>
          <w:cantSplit/>
          <w:trHeight w:val="712"/>
        </w:trPr>
        <w:tc>
          <w:tcPr>
            <w:tcW w:w="3449" w:type="dxa"/>
            <w:vMerge/>
            <w:vAlign w:val="center"/>
          </w:tcPr>
          <w:p w:rsidR="00FA3BFB" w:rsidRPr="00771904" w:rsidRDefault="00FA3BFB" w:rsidP="0068734F">
            <w:pPr>
              <w:pStyle w:val="Header"/>
              <w:spacing w:before="120"/>
              <w:ind w:left="346" w:hanging="360"/>
              <w:rPr>
                <w:rFonts w:cs="Arial"/>
                <w:i/>
                <w:color w:val="000000"/>
                <w:szCs w:val="22"/>
              </w:rPr>
            </w:pPr>
          </w:p>
        </w:tc>
        <w:tc>
          <w:tcPr>
            <w:tcW w:w="2095" w:type="dxa"/>
            <w:tcBorders>
              <w:top w:val="sing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vAlign w:val="center"/>
          </w:tcPr>
          <w:p w:rsidR="00FA3BFB" w:rsidRPr="00771904" w:rsidRDefault="00FA3BFB" w:rsidP="00E11FD2">
            <w:pPr>
              <w:pStyle w:val="styleleft0250"/>
              <w:spacing w:before="0" w:beforeAutospacing="0" w:after="0" w:afterAutospacing="0"/>
              <w:jc w:val="center"/>
              <w:rPr>
                <w:rFonts w:ascii="Arial" w:hAnsi="Arial" w:cs="Arial"/>
                <w:color w:val="000000" w:themeColor="text1"/>
                <w:sz w:val="22"/>
                <w:szCs w:val="22"/>
              </w:rPr>
            </w:pPr>
          </w:p>
        </w:tc>
        <w:tc>
          <w:tcPr>
            <w:tcW w:w="1830" w:type="dxa"/>
            <w:vAlign w:val="center"/>
          </w:tcPr>
          <w:p w:rsidR="00FA3BFB" w:rsidRPr="00771904" w:rsidRDefault="00FA3BFB" w:rsidP="00FA3BFB">
            <w:pPr>
              <w:jc w:val="center"/>
              <w:rPr>
                <w:rFonts w:cs="Arial"/>
                <w:color w:val="000000" w:themeColor="text1"/>
                <w:szCs w:val="22"/>
              </w:rPr>
            </w:pPr>
          </w:p>
        </w:tc>
        <w:tc>
          <w:tcPr>
            <w:tcW w:w="2010" w:type="dxa"/>
            <w:vAlign w:val="center"/>
          </w:tcPr>
          <w:p w:rsidR="00FA3BFB" w:rsidRPr="00771904" w:rsidRDefault="00FA3BFB" w:rsidP="00FA3BFB">
            <w:pPr>
              <w:jc w:val="center"/>
              <w:rPr>
                <w:rFonts w:cs="Arial"/>
                <w:color w:val="000000" w:themeColor="text1"/>
                <w:szCs w:val="22"/>
              </w:rPr>
            </w:pPr>
          </w:p>
        </w:tc>
      </w:tr>
      <w:tr w:rsidR="00FA3BFB" w:rsidRPr="00771904" w:rsidTr="00E93C62">
        <w:tblPrEx>
          <w:tblBorders>
            <w:top w:val="double" w:sz="4" w:space="0" w:color="auto"/>
            <w:bottom w:val="single" w:sz="4" w:space="0" w:color="auto"/>
          </w:tblBorders>
        </w:tblPrEx>
        <w:trPr>
          <w:cantSplit/>
          <w:trHeight w:val="1421"/>
        </w:trPr>
        <w:tc>
          <w:tcPr>
            <w:tcW w:w="3449" w:type="dxa"/>
            <w:vMerge w:val="restart"/>
            <w:tcBorders>
              <w:top w:val="single" w:sz="4" w:space="0" w:color="auto"/>
            </w:tcBorders>
            <w:vAlign w:val="center"/>
          </w:tcPr>
          <w:p w:rsidR="00FA3BFB" w:rsidRPr="00771904" w:rsidRDefault="00FA3BFB" w:rsidP="0068734F">
            <w:pPr>
              <w:pStyle w:val="Header"/>
              <w:spacing w:before="120"/>
              <w:ind w:left="346" w:hanging="360"/>
              <w:rPr>
                <w:rFonts w:cs="Arial"/>
                <w:i/>
                <w:color w:val="000000"/>
                <w:szCs w:val="22"/>
              </w:rPr>
            </w:pPr>
            <w:r w:rsidRPr="00771904">
              <w:rPr>
                <w:rFonts w:cs="Arial"/>
                <w:i/>
                <w:color w:val="000000"/>
                <w:szCs w:val="22"/>
              </w:rPr>
              <w:t>7.</w:t>
            </w:r>
            <w:r w:rsidRPr="00771904">
              <w:rPr>
                <w:rFonts w:cs="Arial"/>
                <w:i/>
                <w:color w:val="000000"/>
                <w:szCs w:val="22"/>
              </w:rPr>
              <w:tab/>
            </w:r>
            <w:r w:rsidR="00E93C62" w:rsidRPr="00771904">
              <w:rPr>
                <w:rFonts w:cs="Arial"/>
                <w:i/>
                <w:color w:val="000000"/>
                <w:szCs w:val="22"/>
              </w:rPr>
              <w:t>Percent of eligible infants and toddlers with IFSPs for whom an initial evaluation and initial assessment and an initial IFSP meeting were conducted within Part C’s 45-day timeline.</w:t>
            </w:r>
          </w:p>
        </w:tc>
        <w:tc>
          <w:tcPr>
            <w:tcW w:w="2095" w:type="dxa"/>
            <w:tcBorders>
              <w:top w:val="single" w:sz="4" w:space="0" w:color="auto"/>
            </w:tcBorders>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top w:val="single" w:sz="4" w:space="0" w:color="auto"/>
            </w:tcBorders>
            <w:vAlign w:val="center"/>
          </w:tcPr>
          <w:p w:rsidR="00FA3BFB" w:rsidRPr="00771904" w:rsidRDefault="00253D40" w:rsidP="00E11FD2">
            <w:pPr>
              <w:jc w:val="center"/>
              <w:rPr>
                <w:rFonts w:cs="Arial"/>
                <w:color w:val="000000" w:themeColor="text1"/>
                <w:szCs w:val="22"/>
              </w:rPr>
            </w:pPr>
            <w:r w:rsidRPr="00771904">
              <w:rPr>
                <w:rFonts w:cs="Arial"/>
                <w:color w:val="000000" w:themeColor="text1"/>
                <w:szCs w:val="22"/>
              </w:rPr>
              <w:t>2</w:t>
            </w:r>
          </w:p>
        </w:tc>
        <w:tc>
          <w:tcPr>
            <w:tcW w:w="183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8</w:t>
            </w:r>
          </w:p>
        </w:tc>
        <w:tc>
          <w:tcPr>
            <w:tcW w:w="201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8</w:t>
            </w:r>
          </w:p>
        </w:tc>
      </w:tr>
      <w:tr w:rsidR="00FA3BFB" w:rsidRPr="00771904" w:rsidTr="00E93C62">
        <w:tblPrEx>
          <w:tblBorders>
            <w:top w:val="double" w:sz="4" w:space="0" w:color="auto"/>
            <w:bottom w:val="single" w:sz="4" w:space="0" w:color="auto"/>
          </w:tblBorders>
        </w:tblPrEx>
        <w:trPr>
          <w:cantSplit/>
          <w:trHeight w:val="800"/>
        </w:trPr>
        <w:tc>
          <w:tcPr>
            <w:tcW w:w="3449" w:type="dxa"/>
            <w:vMerge/>
            <w:vAlign w:val="center"/>
          </w:tcPr>
          <w:p w:rsidR="00FA3BFB" w:rsidRPr="00771904" w:rsidRDefault="00FA3BFB" w:rsidP="00BB59EA">
            <w:pPr>
              <w:numPr>
                <w:ilvl w:val="0"/>
                <w:numId w:val="7"/>
              </w:numPr>
              <w:tabs>
                <w:tab w:val="num" w:pos="656"/>
              </w:tabs>
              <w:rPr>
                <w:rFonts w:cs="Arial"/>
                <w:i/>
                <w:color w:val="000000"/>
                <w:szCs w:val="22"/>
              </w:rPr>
            </w:pP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tcBorders>
              <w:top w:val="single" w:sz="4" w:space="0" w:color="auto"/>
            </w:tcBorders>
            <w:vAlign w:val="center"/>
          </w:tcPr>
          <w:p w:rsidR="00FA3BFB" w:rsidRPr="00771904" w:rsidRDefault="00253D40" w:rsidP="00E11FD2">
            <w:pPr>
              <w:jc w:val="center"/>
              <w:rPr>
                <w:rFonts w:cs="Arial"/>
                <w:color w:val="000000" w:themeColor="text1"/>
                <w:szCs w:val="22"/>
              </w:rPr>
            </w:pPr>
            <w:r w:rsidRPr="00771904">
              <w:rPr>
                <w:rFonts w:cs="Arial"/>
                <w:color w:val="000000" w:themeColor="text1"/>
                <w:szCs w:val="22"/>
              </w:rPr>
              <w:t>1</w:t>
            </w:r>
          </w:p>
        </w:tc>
        <w:tc>
          <w:tcPr>
            <w:tcW w:w="183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1</w:t>
            </w:r>
          </w:p>
        </w:tc>
        <w:tc>
          <w:tcPr>
            <w:tcW w:w="201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1</w:t>
            </w:r>
          </w:p>
        </w:tc>
      </w:tr>
      <w:tr w:rsidR="00FA3BFB" w:rsidRPr="00771904" w:rsidTr="00E93C62">
        <w:tblPrEx>
          <w:tblBorders>
            <w:top w:val="double" w:sz="4" w:space="0" w:color="auto"/>
            <w:bottom w:val="single" w:sz="4" w:space="0" w:color="auto"/>
          </w:tblBorders>
        </w:tblPrEx>
        <w:trPr>
          <w:cantSplit/>
          <w:trHeight w:val="1448"/>
        </w:trPr>
        <w:tc>
          <w:tcPr>
            <w:tcW w:w="3449" w:type="dxa"/>
            <w:vMerge w:val="restart"/>
            <w:vAlign w:val="center"/>
          </w:tcPr>
          <w:p w:rsidR="00E93C62" w:rsidRPr="00771904" w:rsidRDefault="00FA3BFB" w:rsidP="00E93C62">
            <w:pPr>
              <w:ind w:left="342" w:hanging="360"/>
              <w:rPr>
                <w:rFonts w:cs="Arial"/>
                <w:i/>
                <w:color w:val="000000"/>
                <w:szCs w:val="22"/>
              </w:rPr>
            </w:pPr>
            <w:r w:rsidRPr="00771904">
              <w:rPr>
                <w:rFonts w:cs="Arial"/>
                <w:i/>
                <w:color w:val="000000"/>
                <w:szCs w:val="22"/>
              </w:rPr>
              <w:t>8.</w:t>
            </w:r>
            <w:r w:rsidRPr="00771904">
              <w:rPr>
                <w:rFonts w:cs="Arial"/>
                <w:i/>
                <w:color w:val="000000"/>
                <w:szCs w:val="22"/>
              </w:rPr>
              <w:tab/>
            </w:r>
            <w:r w:rsidR="00E93C62" w:rsidRPr="00771904">
              <w:rPr>
                <w:rFonts w:cs="Arial"/>
                <w:i/>
                <w:color w:val="000000"/>
                <w:szCs w:val="22"/>
              </w:rPr>
              <w:t>Percentage of toddlers with disabilities exiting Part C with timely transition planning for whom the Lead Agency has:</w:t>
            </w:r>
          </w:p>
          <w:p w:rsidR="00FA3BFB" w:rsidRPr="00771904" w:rsidRDefault="00E93C62" w:rsidP="00E93C62">
            <w:pPr>
              <w:ind w:left="342"/>
              <w:rPr>
                <w:rFonts w:cs="Arial"/>
                <w:i/>
                <w:color w:val="000000"/>
                <w:szCs w:val="22"/>
                <w:highlight w:val="yellow"/>
              </w:rPr>
            </w:pPr>
            <w:r w:rsidRPr="00771904">
              <w:rPr>
                <w:rFonts w:cs="Arial"/>
                <w:i/>
                <w:color w:val="000000"/>
                <w:szCs w:val="22"/>
              </w:rPr>
              <w:t xml:space="preserve">  A. Developed an IFSP with transition steps and services at least 90 days, and at the discretion of all parties, not more than nine months, prior to the toddler’s third birthday: </w:t>
            </w:r>
            <w:r w:rsidR="00FA3BFB" w:rsidRPr="00771904">
              <w:rPr>
                <w:rFonts w:cs="Arial"/>
                <w:i/>
                <w:color w:val="000000"/>
                <w:szCs w:val="22"/>
              </w:rPr>
              <w:t xml:space="preserve"> </w:t>
            </w: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top w:val="single" w:sz="4" w:space="0" w:color="auto"/>
            </w:tcBorders>
            <w:vAlign w:val="center"/>
          </w:tcPr>
          <w:p w:rsidR="00FA3BFB" w:rsidRPr="00771904" w:rsidRDefault="00253D40" w:rsidP="00E11FD2">
            <w:pPr>
              <w:jc w:val="center"/>
              <w:rPr>
                <w:rFonts w:cs="Arial"/>
                <w:color w:val="000000" w:themeColor="text1"/>
                <w:szCs w:val="22"/>
              </w:rPr>
            </w:pPr>
            <w:r w:rsidRPr="00771904">
              <w:rPr>
                <w:rFonts w:cs="Arial"/>
                <w:color w:val="000000" w:themeColor="text1"/>
                <w:szCs w:val="22"/>
              </w:rPr>
              <w:t>1</w:t>
            </w:r>
          </w:p>
        </w:tc>
        <w:tc>
          <w:tcPr>
            <w:tcW w:w="183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1</w:t>
            </w:r>
          </w:p>
        </w:tc>
        <w:tc>
          <w:tcPr>
            <w:tcW w:w="201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1</w:t>
            </w:r>
          </w:p>
        </w:tc>
      </w:tr>
      <w:tr w:rsidR="00FA3BFB" w:rsidRPr="00771904" w:rsidTr="00E93C62">
        <w:tblPrEx>
          <w:tblBorders>
            <w:top w:val="double" w:sz="4" w:space="0" w:color="auto"/>
            <w:bottom w:val="single" w:sz="4" w:space="0" w:color="auto"/>
          </w:tblBorders>
        </w:tblPrEx>
        <w:trPr>
          <w:cantSplit/>
          <w:trHeight w:val="1187"/>
        </w:trPr>
        <w:tc>
          <w:tcPr>
            <w:tcW w:w="3449" w:type="dxa"/>
            <w:vMerge/>
            <w:vAlign w:val="center"/>
          </w:tcPr>
          <w:p w:rsidR="00FA3BFB" w:rsidRPr="00771904" w:rsidRDefault="00FA3BFB" w:rsidP="0068734F">
            <w:pPr>
              <w:tabs>
                <w:tab w:val="num" w:pos="360"/>
              </w:tabs>
              <w:rPr>
                <w:rFonts w:cs="Arial"/>
                <w:i/>
                <w:color w:val="000000"/>
                <w:szCs w:val="22"/>
              </w:rPr>
            </w:pP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tcBorders>
              <w:top w:val="single" w:sz="4" w:space="0" w:color="auto"/>
            </w:tcBorders>
            <w:vAlign w:val="center"/>
          </w:tcPr>
          <w:p w:rsidR="00FA3BFB" w:rsidRPr="00771904" w:rsidRDefault="00253D40" w:rsidP="00E11FD2">
            <w:pPr>
              <w:jc w:val="center"/>
              <w:rPr>
                <w:rFonts w:cs="Arial"/>
                <w:color w:val="000000" w:themeColor="text1"/>
                <w:szCs w:val="22"/>
              </w:rPr>
            </w:pPr>
            <w:r w:rsidRPr="00771904">
              <w:rPr>
                <w:rFonts w:cs="Arial"/>
                <w:color w:val="000000" w:themeColor="text1"/>
                <w:szCs w:val="22"/>
              </w:rPr>
              <w:t>2</w:t>
            </w:r>
          </w:p>
        </w:tc>
        <w:tc>
          <w:tcPr>
            <w:tcW w:w="183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2</w:t>
            </w:r>
          </w:p>
        </w:tc>
        <w:tc>
          <w:tcPr>
            <w:tcW w:w="2010" w:type="dxa"/>
            <w:tcBorders>
              <w:top w:val="single" w:sz="4" w:space="0" w:color="auto"/>
            </w:tcBorders>
            <w:vAlign w:val="center"/>
          </w:tcPr>
          <w:p w:rsidR="00FA3BFB" w:rsidRPr="00771904" w:rsidRDefault="00253D40" w:rsidP="00FA3BFB">
            <w:pPr>
              <w:jc w:val="center"/>
              <w:rPr>
                <w:rFonts w:cs="Arial"/>
                <w:color w:val="000000" w:themeColor="text1"/>
                <w:szCs w:val="22"/>
              </w:rPr>
            </w:pPr>
            <w:r w:rsidRPr="00771904">
              <w:rPr>
                <w:rFonts w:cs="Arial"/>
                <w:color w:val="000000" w:themeColor="text1"/>
                <w:szCs w:val="22"/>
              </w:rPr>
              <w:t>2</w:t>
            </w:r>
          </w:p>
        </w:tc>
      </w:tr>
      <w:tr w:rsidR="00FA3BFB" w:rsidRPr="00771904" w:rsidTr="00E93C62">
        <w:tblPrEx>
          <w:tblBorders>
            <w:top w:val="double" w:sz="4" w:space="0" w:color="auto"/>
            <w:bottom w:val="single" w:sz="4" w:space="0" w:color="auto"/>
          </w:tblBorders>
        </w:tblPrEx>
        <w:trPr>
          <w:cantSplit/>
          <w:trHeight w:val="1466"/>
        </w:trPr>
        <w:tc>
          <w:tcPr>
            <w:tcW w:w="3449" w:type="dxa"/>
            <w:vMerge w:val="restart"/>
            <w:vAlign w:val="center"/>
          </w:tcPr>
          <w:p w:rsidR="00E93C62" w:rsidRPr="00771904" w:rsidRDefault="00FA3BFB" w:rsidP="00E93C62">
            <w:pPr>
              <w:ind w:left="342" w:hanging="360"/>
              <w:rPr>
                <w:rFonts w:cs="Arial"/>
                <w:i/>
                <w:color w:val="000000"/>
                <w:szCs w:val="22"/>
              </w:rPr>
            </w:pPr>
            <w:r w:rsidRPr="00771904">
              <w:rPr>
                <w:rFonts w:cs="Arial"/>
                <w:i/>
                <w:color w:val="000000"/>
                <w:szCs w:val="22"/>
              </w:rPr>
              <w:lastRenderedPageBreak/>
              <w:t>8.</w:t>
            </w:r>
            <w:r w:rsidRPr="00771904">
              <w:rPr>
                <w:rFonts w:cs="Arial"/>
                <w:i/>
                <w:color w:val="000000"/>
                <w:szCs w:val="22"/>
              </w:rPr>
              <w:tab/>
            </w:r>
            <w:r w:rsidR="00E93C62" w:rsidRPr="00771904">
              <w:rPr>
                <w:rFonts w:cs="Arial"/>
                <w:i/>
                <w:color w:val="000000"/>
                <w:szCs w:val="22"/>
              </w:rPr>
              <w:t>Percentage of toddlers with disabilities exiting Part C with timely transition planning for whom the lead agency has:</w:t>
            </w:r>
          </w:p>
          <w:p w:rsidR="00FA3BFB" w:rsidRPr="00771904" w:rsidRDefault="00E93C62" w:rsidP="00192829">
            <w:pPr>
              <w:ind w:left="342" w:hanging="360"/>
              <w:rPr>
                <w:rFonts w:cs="Arial"/>
                <w:i/>
                <w:color w:val="000000"/>
                <w:szCs w:val="22"/>
              </w:rPr>
            </w:pPr>
            <w:r w:rsidRPr="00771904">
              <w:rPr>
                <w:rFonts w:cs="Arial"/>
                <w:i/>
                <w:color w:val="000000"/>
                <w:szCs w:val="22"/>
              </w:rPr>
              <w:t>B.</w:t>
            </w:r>
            <w:r w:rsidRPr="00771904">
              <w:rPr>
                <w:rFonts w:cs="Arial"/>
                <w:i/>
                <w:color w:val="000000"/>
                <w:szCs w:val="22"/>
              </w:rPr>
              <w:tab/>
              <w:t xml:space="preserve">Notified (consistent with any opt-out policy adopted by </w:t>
            </w:r>
            <w:r w:rsidR="00192829" w:rsidRPr="00771904">
              <w:rPr>
                <w:rFonts w:cs="Arial"/>
                <w:i/>
                <w:color w:val="000000"/>
                <w:szCs w:val="22"/>
              </w:rPr>
              <w:t>the state</w:t>
            </w:r>
            <w:r w:rsidRPr="00771904">
              <w:rPr>
                <w:rFonts w:cs="Arial"/>
                <w:i/>
                <w:color w:val="000000"/>
                <w:szCs w:val="22"/>
              </w:rPr>
              <w:t>) the SEA and the LEA where the child resides at least 90 days prior to the toddler’s third birthday for toddlers potentially eligible for Part B preschool services; and</w:t>
            </w: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vAlign w:val="center"/>
          </w:tcPr>
          <w:p w:rsidR="00FA3BFB" w:rsidRPr="00771904" w:rsidRDefault="00FA3BFB" w:rsidP="00FA3BFB">
            <w:pPr>
              <w:jc w:val="center"/>
              <w:rPr>
                <w:rFonts w:cs="Arial"/>
                <w:color w:val="000000" w:themeColor="text1"/>
                <w:szCs w:val="22"/>
              </w:rPr>
            </w:pPr>
          </w:p>
        </w:tc>
        <w:tc>
          <w:tcPr>
            <w:tcW w:w="1830" w:type="dxa"/>
            <w:vAlign w:val="center"/>
          </w:tcPr>
          <w:p w:rsidR="00FA3BFB" w:rsidRPr="00771904" w:rsidRDefault="00FA3BFB" w:rsidP="00FA3BFB">
            <w:pPr>
              <w:jc w:val="center"/>
              <w:rPr>
                <w:rFonts w:cs="Arial"/>
                <w:color w:val="000000" w:themeColor="text1"/>
                <w:szCs w:val="22"/>
              </w:rPr>
            </w:pPr>
          </w:p>
        </w:tc>
        <w:tc>
          <w:tcPr>
            <w:tcW w:w="2010" w:type="dxa"/>
            <w:vAlign w:val="center"/>
          </w:tcPr>
          <w:p w:rsidR="00FA3BFB" w:rsidRPr="00771904" w:rsidRDefault="00FA3BFB" w:rsidP="00FA3BFB">
            <w:pPr>
              <w:jc w:val="center"/>
              <w:rPr>
                <w:rFonts w:cs="Arial"/>
                <w:color w:val="000000" w:themeColor="text1"/>
                <w:szCs w:val="22"/>
              </w:rPr>
            </w:pPr>
          </w:p>
        </w:tc>
      </w:tr>
      <w:tr w:rsidR="00FA3BFB" w:rsidRPr="00771904" w:rsidTr="00E93C62">
        <w:tblPrEx>
          <w:tblBorders>
            <w:top w:val="double" w:sz="4" w:space="0" w:color="auto"/>
            <w:bottom w:val="single" w:sz="4" w:space="0" w:color="auto"/>
          </w:tblBorders>
        </w:tblPrEx>
        <w:trPr>
          <w:cantSplit/>
          <w:trHeight w:val="548"/>
        </w:trPr>
        <w:tc>
          <w:tcPr>
            <w:tcW w:w="3449" w:type="dxa"/>
            <w:vMerge/>
            <w:vAlign w:val="center"/>
          </w:tcPr>
          <w:p w:rsidR="00FA3BFB" w:rsidRPr="00771904" w:rsidRDefault="00FA3BFB" w:rsidP="0068734F">
            <w:pPr>
              <w:tabs>
                <w:tab w:val="num" w:pos="360"/>
              </w:tabs>
              <w:rPr>
                <w:rFonts w:cs="Arial"/>
                <w:i/>
                <w:color w:val="000000"/>
                <w:szCs w:val="22"/>
              </w:rPr>
            </w:pP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vAlign w:val="center"/>
          </w:tcPr>
          <w:p w:rsidR="00FA3BFB" w:rsidRPr="00771904" w:rsidRDefault="00FA3BFB" w:rsidP="00E11FD2">
            <w:pPr>
              <w:jc w:val="center"/>
              <w:rPr>
                <w:rFonts w:cs="Arial"/>
                <w:color w:val="000000" w:themeColor="text1"/>
                <w:szCs w:val="22"/>
              </w:rPr>
            </w:pPr>
          </w:p>
        </w:tc>
        <w:tc>
          <w:tcPr>
            <w:tcW w:w="1830" w:type="dxa"/>
            <w:vAlign w:val="center"/>
          </w:tcPr>
          <w:p w:rsidR="00FA3BFB" w:rsidRPr="00771904" w:rsidRDefault="00FA3BFB" w:rsidP="00FA3BFB">
            <w:pPr>
              <w:jc w:val="center"/>
              <w:rPr>
                <w:rFonts w:cs="Arial"/>
                <w:color w:val="000000" w:themeColor="text1"/>
                <w:szCs w:val="22"/>
              </w:rPr>
            </w:pPr>
          </w:p>
        </w:tc>
        <w:tc>
          <w:tcPr>
            <w:tcW w:w="2010" w:type="dxa"/>
            <w:vAlign w:val="center"/>
          </w:tcPr>
          <w:p w:rsidR="00FA3BFB" w:rsidRPr="00771904" w:rsidRDefault="00FA3BFB" w:rsidP="00FA3BFB">
            <w:pPr>
              <w:jc w:val="center"/>
              <w:rPr>
                <w:rFonts w:cs="Arial"/>
                <w:color w:val="000000" w:themeColor="text1"/>
                <w:szCs w:val="22"/>
              </w:rPr>
            </w:pPr>
          </w:p>
        </w:tc>
      </w:tr>
      <w:tr w:rsidR="00207B94" w:rsidRPr="00771904" w:rsidTr="00E93C62">
        <w:tblPrEx>
          <w:tblBorders>
            <w:top w:val="double" w:sz="4" w:space="0" w:color="auto"/>
            <w:bottom w:val="single" w:sz="4" w:space="0" w:color="auto"/>
          </w:tblBorders>
        </w:tblPrEx>
        <w:trPr>
          <w:cantSplit/>
          <w:trHeight w:val="1439"/>
        </w:trPr>
        <w:tc>
          <w:tcPr>
            <w:tcW w:w="3449" w:type="dxa"/>
            <w:vMerge w:val="restart"/>
            <w:vAlign w:val="center"/>
          </w:tcPr>
          <w:p w:rsidR="00E93C62" w:rsidRPr="00771904" w:rsidRDefault="00207B94" w:rsidP="00E93C62">
            <w:pPr>
              <w:ind w:left="342" w:hanging="360"/>
              <w:rPr>
                <w:rFonts w:cs="Arial"/>
                <w:i/>
                <w:color w:val="000000"/>
                <w:szCs w:val="22"/>
              </w:rPr>
            </w:pPr>
            <w:r w:rsidRPr="00771904">
              <w:rPr>
                <w:rFonts w:cs="Arial"/>
                <w:i/>
                <w:color w:val="000000"/>
                <w:szCs w:val="22"/>
              </w:rPr>
              <w:t>8.</w:t>
            </w:r>
            <w:r w:rsidRPr="00771904">
              <w:rPr>
                <w:rFonts w:cs="Arial"/>
                <w:i/>
                <w:color w:val="000000"/>
                <w:szCs w:val="22"/>
              </w:rPr>
              <w:tab/>
            </w:r>
            <w:r w:rsidR="00E93C62" w:rsidRPr="00771904">
              <w:rPr>
                <w:rFonts w:cs="Arial"/>
                <w:i/>
                <w:color w:val="000000"/>
                <w:szCs w:val="22"/>
              </w:rPr>
              <w:t>Percentage of toddlers with disabilities exiting Part C with timely transition planning for whom the Lead Agency has:</w:t>
            </w:r>
          </w:p>
          <w:p w:rsidR="00207B94" w:rsidRPr="00771904" w:rsidRDefault="00E93C62" w:rsidP="00E93C62">
            <w:pPr>
              <w:spacing w:after="120"/>
              <w:ind w:left="342"/>
              <w:rPr>
                <w:rFonts w:cs="Arial"/>
                <w:i/>
                <w:color w:val="000000"/>
                <w:szCs w:val="22"/>
              </w:rPr>
            </w:pPr>
            <w:r w:rsidRPr="00771904">
              <w:rPr>
                <w:rFonts w:cs="Arial"/>
                <w:i/>
                <w:color w:val="000000"/>
                <w:szCs w:val="22"/>
              </w:rPr>
              <w:t>C.</w:t>
            </w:r>
            <w:r w:rsidRPr="00771904">
              <w:rPr>
                <w:rFonts w:cs="Arial"/>
                <w:i/>
                <w:color w:val="000000"/>
                <w:szCs w:val="22"/>
              </w:rPr>
              <w:tab/>
              <w:t xml:space="preserve">Conducted the transition conference held with the approval of the family at least 90 days, and at the discretion of all parties, not more than nine months, </w:t>
            </w:r>
            <w:proofErr w:type="gramStart"/>
            <w:r w:rsidRPr="00771904">
              <w:rPr>
                <w:rFonts w:cs="Arial"/>
                <w:i/>
                <w:color w:val="000000"/>
                <w:szCs w:val="22"/>
              </w:rPr>
              <w:t>prior</w:t>
            </w:r>
            <w:proofErr w:type="gramEnd"/>
            <w:r w:rsidRPr="00771904">
              <w:rPr>
                <w:rFonts w:cs="Arial"/>
                <w:i/>
                <w:color w:val="000000"/>
                <w:szCs w:val="22"/>
              </w:rPr>
              <w:t xml:space="preserve"> to the toddler’s third birthday for toddlers potentially eligible for Part B preschool services.</w:t>
            </w:r>
          </w:p>
        </w:tc>
        <w:tc>
          <w:tcPr>
            <w:tcW w:w="2095" w:type="dxa"/>
            <w:vAlign w:val="center"/>
          </w:tcPr>
          <w:p w:rsidR="00207B94" w:rsidRPr="00771904" w:rsidRDefault="00207B94"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bottom w:val="single" w:sz="4" w:space="0" w:color="auto"/>
            </w:tcBorders>
            <w:vAlign w:val="center"/>
          </w:tcPr>
          <w:p w:rsidR="00207B94" w:rsidRPr="00771904" w:rsidRDefault="00207B94" w:rsidP="00CB08E2">
            <w:pPr>
              <w:jc w:val="center"/>
              <w:rPr>
                <w:rFonts w:cs="Arial"/>
                <w:color w:val="000000" w:themeColor="text1"/>
                <w:szCs w:val="22"/>
              </w:rPr>
            </w:pPr>
            <w:r w:rsidRPr="00771904">
              <w:rPr>
                <w:rFonts w:cs="Arial"/>
                <w:color w:val="000000" w:themeColor="text1"/>
                <w:szCs w:val="22"/>
              </w:rPr>
              <w:t>5</w:t>
            </w:r>
          </w:p>
        </w:tc>
        <w:tc>
          <w:tcPr>
            <w:tcW w:w="1830" w:type="dxa"/>
            <w:tcBorders>
              <w:bottom w:val="single" w:sz="4" w:space="0" w:color="auto"/>
            </w:tcBorders>
            <w:vAlign w:val="center"/>
          </w:tcPr>
          <w:p w:rsidR="00207B94" w:rsidRPr="00771904" w:rsidRDefault="00207B94" w:rsidP="00CB08E2">
            <w:pPr>
              <w:jc w:val="center"/>
              <w:rPr>
                <w:rFonts w:cs="Arial"/>
                <w:color w:val="000000" w:themeColor="text1"/>
                <w:szCs w:val="22"/>
              </w:rPr>
            </w:pPr>
            <w:r w:rsidRPr="00771904">
              <w:rPr>
                <w:rFonts w:cs="Arial"/>
                <w:color w:val="000000" w:themeColor="text1"/>
                <w:szCs w:val="22"/>
              </w:rPr>
              <w:t>5</w:t>
            </w:r>
          </w:p>
        </w:tc>
        <w:tc>
          <w:tcPr>
            <w:tcW w:w="2010" w:type="dxa"/>
            <w:tcBorders>
              <w:bottom w:val="single" w:sz="4" w:space="0" w:color="auto"/>
            </w:tcBorders>
            <w:vAlign w:val="center"/>
          </w:tcPr>
          <w:p w:rsidR="00207B94" w:rsidRPr="00771904" w:rsidRDefault="00207B94" w:rsidP="00CB08E2">
            <w:pPr>
              <w:jc w:val="center"/>
              <w:rPr>
                <w:rFonts w:cs="Arial"/>
                <w:color w:val="000000" w:themeColor="text1"/>
                <w:szCs w:val="22"/>
              </w:rPr>
            </w:pPr>
            <w:r w:rsidRPr="00771904">
              <w:rPr>
                <w:rFonts w:cs="Arial"/>
                <w:color w:val="000000" w:themeColor="text1"/>
                <w:szCs w:val="22"/>
              </w:rPr>
              <w:t>5</w:t>
            </w:r>
          </w:p>
        </w:tc>
      </w:tr>
      <w:tr w:rsidR="00FA3BFB" w:rsidRPr="00771904" w:rsidTr="00E93C62">
        <w:tblPrEx>
          <w:tblBorders>
            <w:top w:val="double" w:sz="4" w:space="0" w:color="auto"/>
            <w:bottom w:val="single" w:sz="4" w:space="0" w:color="auto"/>
          </w:tblBorders>
        </w:tblPrEx>
        <w:trPr>
          <w:cantSplit/>
          <w:trHeight w:val="360"/>
        </w:trPr>
        <w:tc>
          <w:tcPr>
            <w:tcW w:w="3449" w:type="dxa"/>
            <w:vMerge/>
            <w:vAlign w:val="center"/>
          </w:tcPr>
          <w:p w:rsidR="00FA3BFB" w:rsidRPr="00771904" w:rsidRDefault="00FA3BFB" w:rsidP="0068734F">
            <w:pPr>
              <w:tabs>
                <w:tab w:val="num" w:pos="360"/>
              </w:tabs>
              <w:rPr>
                <w:rFonts w:cs="Arial"/>
                <w:i/>
                <w:color w:val="000000"/>
                <w:szCs w:val="22"/>
              </w:rPr>
            </w:pP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tcBorders>
              <w:bottom w:val="single" w:sz="4" w:space="0" w:color="auto"/>
            </w:tcBorders>
            <w:vAlign w:val="center"/>
          </w:tcPr>
          <w:p w:rsidR="00FA3BFB" w:rsidRPr="00771904" w:rsidRDefault="00FA3BFB" w:rsidP="00E11FD2">
            <w:pPr>
              <w:jc w:val="center"/>
              <w:rPr>
                <w:rFonts w:cs="Arial"/>
                <w:color w:val="000000" w:themeColor="text1"/>
                <w:szCs w:val="22"/>
              </w:rPr>
            </w:pPr>
          </w:p>
        </w:tc>
        <w:tc>
          <w:tcPr>
            <w:tcW w:w="1830" w:type="dxa"/>
            <w:tcBorders>
              <w:bottom w:val="single" w:sz="4" w:space="0" w:color="auto"/>
            </w:tcBorders>
            <w:vAlign w:val="center"/>
          </w:tcPr>
          <w:p w:rsidR="00FA3BFB" w:rsidRPr="00771904" w:rsidRDefault="00FA3BFB" w:rsidP="00FA3BFB">
            <w:pPr>
              <w:jc w:val="center"/>
              <w:rPr>
                <w:rFonts w:cs="Arial"/>
                <w:color w:val="000000" w:themeColor="text1"/>
                <w:szCs w:val="22"/>
              </w:rPr>
            </w:pPr>
          </w:p>
        </w:tc>
        <w:tc>
          <w:tcPr>
            <w:tcW w:w="2010" w:type="dxa"/>
            <w:tcBorders>
              <w:bottom w:val="single" w:sz="4" w:space="0" w:color="auto"/>
            </w:tcBorders>
            <w:vAlign w:val="center"/>
          </w:tcPr>
          <w:p w:rsidR="00FA3BFB" w:rsidRPr="00771904" w:rsidRDefault="00FA3BFB" w:rsidP="00FA3BFB">
            <w:pPr>
              <w:jc w:val="center"/>
              <w:rPr>
                <w:rFonts w:cs="Arial"/>
                <w:color w:val="000000" w:themeColor="text1"/>
                <w:szCs w:val="22"/>
              </w:rPr>
            </w:pPr>
          </w:p>
        </w:tc>
      </w:tr>
      <w:tr w:rsidR="00FA3BFB" w:rsidRPr="00771904" w:rsidTr="00E93C62">
        <w:tblPrEx>
          <w:tblBorders>
            <w:top w:val="double" w:sz="4" w:space="0" w:color="auto"/>
            <w:bottom w:val="single" w:sz="4" w:space="0" w:color="auto"/>
          </w:tblBorders>
        </w:tblPrEx>
        <w:trPr>
          <w:cantSplit/>
          <w:trHeight w:val="360"/>
        </w:trPr>
        <w:tc>
          <w:tcPr>
            <w:tcW w:w="3449" w:type="dxa"/>
            <w:vMerge w:val="restart"/>
            <w:vAlign w:val="center"/>
          </w:tcPr>
          <w:p w:rsidR="00FA3BFB" w:rsidRPr="00771904" w:rsidRDefault="00FA3BFB" w:rsidP="0068734F">
            <w:pPr>
              <w:tabs>
                <w:tab w:val="num" w:pos="360"/>
              </w:tabs>
              <w:rPr>
                <w:rFonts w:cs="Arial"/>
                <w:i/>
                <w:color w:val="000000"/>
                <w:szCs w:val="22"/>
              </w:rPr>
            </w:pPr>
            <w:r w:rsidRPr="00771904">
              <w:rPr>
                <w:rFonts w:cs="Arial"/>
                <w:i/>
                <w:color w:val="000000"/>
                <w:szCs w:val="22"/>
              </w:rPr>
              <w:t>OTHER AREAS OF NONCOMPLIANCE:</w:t>
            </w:r>
          </w:p>
          <w:p w:rsidR="00FA3BFB" w:rsidRPr="00771904" w:rsidRDefault="00FA3BFB" w:rsidP="0068734F">
            <w:pPr>
              <w:tabs>
                <w:tab w:val="num" w:pos="360"/>
              </w:tabs>
              <w:rPr>
                <w:rFonts w:cs="Arial"/>
                <w:i/>
                <w:color w:val="000000"/>
                <w:szCs w:val="22"/>
              </w:rPr>
            </w:pPr>
          </w:p>
          <w:p w:rsidR="00FA3BFB" w:rsidRPr="00771904" w:rsidRDefault="00FA3BFB" w:rsidP="0068734F">
            <w:pPr>
              <w:tabs>
                <w:tab w:val="num" w:pos="360"/>
              </w:tabs>
              <w:rPr>
                <w:rFonts w:cs="Arial"/>
                <w:i/>
                <w:color w:val="000000"/>
                <w:szCs w:val="22"/>
              </w:rPr>
            </w:pPr>
            <w:r w:rsidRPr="00771904">
              <w:rPr>
                <w:rFonts w:cs="Arial"/>
                <w:i/>
                <w:color w:val="000000"/>
                <w:szCs w:val="22"/>
              </w:rPr>
              <w:t>Procedural Safeguards</w:t>
            </w: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Monitoring Activities:  Self-Assessment/ Local APR, Data Review, Desk Audit, On-Site Visits, or Other</w:t>
            </w:r>
          </w:p>
        </w:tc>
        <w:tc>
          <w:tcPr>
            <w:tcW w:w="1506" w:type="dxa"/>
            <w:tcBorders>
              <w:bottom w:val="single" w:sz="4" w:space="0" w:color="auto"/>
            </w:tcBorders>
            <w:vAlign w:val="center"/>
          </w:tcPr>
          <w:p w:rsidR="00FA3BFB" w:rsidRPr="00771904" w:rsidRDefault="00207B94" w:rsidP="00E11FD2">
            <w:pPr>
              <w:jc w:val="center"/>
              <w:rPr>
                <w:rFonts w:cs="Arial"/>
                <w:color w:val="000000" w:themeColor="text1"/>
                <w:szCs w:val="22"/>
              </w:rPr>
            </w:pPr>
            <w:r w:rsidRPr="00771904">
              <w:rPr>
                <w:rFonts w:cs="Arial"/>
                <w:color w:val="000000" w:themeColor="text1"/>
                <w:szCs w:val="22"/>
              </w:rPr>
              <w:t>2</w:t>
            </w:r>
          </w:p>
        </w:tc>
        <w:tc>
          <w:tcPr>
            <w:tcW w:w="1830" w:type="dxa"/>
            <w:tcBorders>
              <w:bottom w:val="single" w:sz="4" w:space="0" w:color="auto"/>
            </w:tcBorders>
            <w:vAlign w:val="center"/>
          </w:tcPr>
          <w:p w:rsidR="00FA3BFB" w:rsidRPr="00771904" w:rsidRDefault="00207B94" w:rsidP="00FA3BFB">
            <w:pPr>
              <w:jc w:val="center"/>
              <w:rPr>
                <w:rFonts w:cs="Arial"/>
                <w:color w:val="000000" w:themeColor="text1"/>
                <w:szCs w:val="22"/>
              </w:rPr>
            </w:pPr>
            <w:r w:rsidRPr="00771904">
              <w:rPr>
                <w:rFonts w:cs="Arial"/>
                <w:color w:val="000000" w:themeColor="text1"/>
                <w:szCs w:val="22"/>
              </w:rPr>
              <w:t>5</w:t>
            </w:r>
          </w:p>
        </w:tc>
        <w:tc>
          <w:tcPr>
            <w:tcW w:w="2010" w:type="dxa"/>
            <w:tcBorders>
              <w:bottom w:val="single" w:sz="4" w:space="0" w:color="auto"/>
            </w:tcBorders>
            <w:vAlign w:val="center"/>
          </w:tcPr>
          <w:p w:rsidR="00FA3BFB" w:rsidRPr="00771904" w:rsidRDefault="00207B94" w:rsidP="00FA3BFB">
            <w:pPr>
              <w:jc w:val="center"/>
              <w:rPr>
                <w:rFonts w:cs="Arial"/>
                <w:color w:val="000000" w:themeColor="text1"/>
                <w:szCs w:val="22"/>
              </w:rPr>
            </w:pPr>
            <w:r w:rsidRPr="00771904">
              <w:rPr>
                <w:rFonts w:cs="Arial"/>
                <w:color w:val="000000" w:themeColor="text1"/>
                <w:szCs w:val="22"/>
              </w:rPr>
              <w:t>5</w:t>
            </w:r>
          </w:p>
        </w:tc>
      </w:tr>
      <w:tr w:rsidR="00FA3BFB" w:rsidRPr="00771904" w:rsidTr="00E93C62">
        <w:tblPrEx>
          <w:tblBorders>
            <w:top w:val="double" w:sz="4" w:space="0" w:color="auto"/>
            <w:bottom w:val="single" w:sz="4" w:space="0" w:color="auto"/>
          </w:tblBorders>
        </w:tblPrEx>
        <w:trPr>
          <w:cantSplit/>
          <w:trHeight w:val="750"/>
        </w:trPr>
        <w:tc>
          <w:tcPr>
            <w:tcW w:w="3449" w:type="dxa"/>
            <w:vMerge/>
            <w:vAlign w:val="center"/>
          </w:tcPr>
          <w:p w:rsidR="00FA3BFB" w:rsidRPr="00771904" w:rsidRDefault="00FA3BFB" w:rsidP="0068734F">
            <w:pPr>
              <w:tabs>
                <w:tab w:val="num" w:pos="360"/>
              </w:tabs>
              <w:rPr>
                <w:rFonts w:cs="Arial"/>
                <w:color w:val="000000"/>
                <w:szCs w:val="22"/>
              </w:rPr>
            </w:pPr>
          </w:p>
        </w:tc>
        <w:tc>
          <w:tcPr>
            <w:tcW w:w="2095" w:type="dxa"/>
            <w:vAlign w:val="center"/>
          </w:tcPr>
          <w:p w:rsidR="00FA3BFB" w:rsidRPr="00771904" w:rsidRDefault="00FA3BFB" w:rsidP="0068734F">
            <w:pPr>
              <w:rPr>
                <w:rFonts w:cs="Arial"/>
                <w:color w:val="000000"/>
                <w:sz w:val="20"/>
                <w:szCs w:val="20"/>
              </w:rPr>
            </w:pPr>
            <w:r w:rsidRPr="00771904">
              <w:rPr>
                <w:rFonts w:cs="Arial"/>
                <w:color w:val="000000"/>
                <w:sz w:val="20"/>
                <w:szCs w:val="20"/>
              </w:rPr>
              <w:t>Dispute Resolution: Complaints, Hearings</w:t>
            </w:r>
          </w:p>
        </w:tc>
        <w:tc>
          <w:tcPr>
            <w:tcW w:w="1506" w:type="dxa"/>
            <w:vAlign w:val="center"/>
          </w:tcPr>
          <w:p w:rsidR="00FA3BFB" w:rsidRPr="00771904" w:rsidRDefault="00FA3BFB" w:rsidP="00E11FD2">
            <w:pPr>
              <w:jc w:val="center"/>
              <w:rPr>
                <w:rFonts w:cs="Arial"/>
                <w:color w:val="000000" w:themeColor="text1"/>
                <w:szCs w:val="22"/>
              </w:rPr>
            </w:pPr>
          </w:p>
        </w:tc>
        <w:tc>
          <w:tcPr>
            <w:tcW w:w="1830" w:type="dxa"/>
            <w:vAlign w:val="center"/>
          </w:tcPr>
          <w:p w:rsidR="00FA3BFB" w:rsidRPr="00771904" w:rsidRDefault="00FA3BFB" w:rsidP="00FA3BFB">
            <w:pPr>
              <w:jc w:val="center"/>
              <w:rPr>
                <w:rFonts w:cs="Arial"/>
                <w:color w:val="000000" w:themeColor="text1"/>
                <w:szCs w:val="22"/>
              </w:rPr>
            </w:pPr>
          </w:p>
        </w:tc>
        <w:tc>
          <w:tcPr>
            <w:tcW w:w="2010" w:type="dxa"/>
            <w:vAlign w:val="center"/>
          </w:tcPr>
          <w:p w:rsidR="00FA3BFB" w:rsidRPr="00771904" w:rsidRDefault="00FA3BFB" w:rsidP="00FA3BFB">
            <w:pPr>
              <w:jc w:val="center"/>
              <w:rPr>
                <w:rFonts w:cs="Arial"/>
                <w:color w:val="000000" w:themeColor="text1"/>
                <w:szCs w:val="22"/>
              </w:rPr>
            </w:pPr>
          </w:p>
        </w:tc>
      </w:tr>
      <w:tr w:rsidR="00C65AB9" w:rsidRPr="00771904" w:rsidTr="00E93C62">
        <w:tblPrEx>
          <w:tblBorders>
            <w:top w:val="double" w:sz="4" w:space="0" w:color="auto"/>
            <w:bottom w:val="single" w:sz="4" w:space="0" w:color="auto"/>
          </w:tblBorders>
        </w:tblPrEx>
        <w:trPr>
          <w:cantSplit/>
          <w:trHeight w:val="360"/>
        </w:trPr>
        <w:tc>
          <w:tcPr>
            <w:tcW w:w="7050" w:type="dxa"/>
            <w:gridSpan w:val="3"/>
          </w:tcPr>
          <w:p w:rsidR="00C65AB9" w:rsidRPr="00771904" w:rsidRDefault="00C65AB9" w:rsidP="00E11FD2">
            <w:pPr>
              <w:rPr>
                <w:rFonts w:cs="Arial"/>
                <w:color w:val="000000"/>
                <w:szCs w:val="22"/>
              </w:rPr>
            </w:pPr>
          </w:p>
          <w:p w:rsidR="00C65AB9" w:rsidRPr="00771904" w:rsidRDefault="00C65AB9" w:rsidP="00E11FD2">
            <w:pPr>
              <w:jc w:val="right"/>
              <w:rPr>
                <w:rFonts w:cs="Arial"/>
                <w:b/>
                <w:color w:val="000000"/>
                <w:szCs w:val="22"/>
              </w:rPr>
            </w:pPr>
            <w:r w:rsidRPr="00771904">
              <w:rPr>
                <w:rFonts w:cs="Arial"/>
                <w:b/>
                <w:color w:val="000000"/>
                <w:szCs w:val="22"/>
              </w:rPr>
              <w:t>Sum the numbers down Column a and Column b</w:t>
            </w:r>
          </w:p>
        </w:tc>
        <w:tc>
          <w:tcPr>
            <w:tcW w:w="1830" w:type="dxa"/>
            <w:tcBorders>
              <w:top w:val="single" w:sz="4" w:space="0" w:color="auto"/>
            </w:tcBorders>
            <w:vAlign w:val="center"/>
          </w:tcPr>
          <w:p w:rsidR="00C65AB9" w:rsidRPr="00771904" w:rsidRDefault="00B85CCD" w:rsidP="008E5C3F">
            <w:pPr>
              <w:jc w:val="center"/>
              <w:rPr>
                <w:rFonts w:cs="Arial"/>
                <w:color w:val="000000"/>
                <w:szCs w:val="22"/>
              </w:rPr>
            </w:pPr>
            <w:r w:rsidRPr="00771904">
              <w:rPr>
                <w:rFonts w:cs="Arial"/>
                <w:color w:val="000000"/>
                <w:szCs w:val="22"/>
              </w:rPr>
              <w:t>34</w:t>
            </w:r>
          </w:p>
        </w:tc>
        <w:tc>
          <w:tcPr>
            <w:tcW w:w="2010" w:type="dxa"/>
            <w:tcBorders>
              <w:top w:val="single" w:sz="4" w:space="0" w:color="auto"/>
            </w:tcBorders>
            <w:vAlign w:val="center"/>
          </w:tcPr>
          <w:p w:rsidR="00C65AB9" w:rsidRPr="00771904" w:rsidRDefault="00B85CCD" w:rsidP="008E5C3F">
            <w:pPr>
              <w:jc w:val="center"/>
              <w:rPr>
                <w:rFonts w:cs="Arial"/>
                <w:color w:val="000000"/>
                <w:szCs w:val="22"/>
              </w:rPr>
            </w:pPr>
            <w:r w:rsidRPr="00771904">
              <w:rPr>
                <w:rFonts w:cs="Arial"/>
                <w:color w:val="000000"/>
                <w:szCs w:val="22"/>
              </w:rPr>
              <w:t>34</w:t>
            </w:r>
          </w:p>
        </w:tc>
      </w:tr>
    </w:tbl>
    <w:p w:rsidR="00ED3510" w:rsidRPr="00771904" w:rsidRDefault="00C65AB9" w:rsidP="00C65AB9">
      <w:pPr>
        <w:pStyle w:val="BodyTextIndent3"/>
        <w:spacing w:before="0" w:after="0"/>
        <w:ind w:left="-4" w:firstLine="0"/>
        <w:rPr>
          <w:rFonts w:cs="Arial"/>
          <w:color w:val="000000"/>
          <w:sz w:val="22"/>
          <w:szCs w:val="22"/>
        </w:rPr>
      </w:pPr>
      <w:r w:rsidRPr="00771904">
        <w:rPr>
          <w:rFonts w:cs="Arial"/>
          <w:color w:val="000000"/>
          <w:sz w:val="22"/>
          <w:szCs w:val="22"/>
        </w:rPr>
        <w:t>Percent of noncompliance corrected within one year of identification = (column (b) sum divided by column (a) sum) times 100</w:t>
      </w:r>
    </w:p>
    <w:p w:rsidR="0082775E" w:rsidRPr="00771904" w:rsidRDefault="0082775E" w:rsidP="001C71C2">
      <w:pPr>
        <w:pStyle w:val="BodyTextIndent3"/>
        <w:spacing w:before="0" w:after="0"/>
        <w:ind w:hanging="296"/>
        <w:rPr>
          <w:rFonts w:cs="Arial"/>
          <w:szCs w:val="22"/>
        </w:rPr>
      </w:pPr>
      <w:bookmarkStart w:id="19" w:name="attB"/>
      <w:bookmarkEnd w:id="19"/>
    </w:p>
    <w:sectPr w:rsidR="0082775E" w:rsidRPr="00771904" w:rsidSect="004E51A2">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13" w:rsidRDefault="00E63213">
      <w:r>
        <w:separator/>
      </w:r>
    </w:p>
  </w:endnote>
  <w:endnote w:type="continuationSeparator" w:id="0">
    <w:p w:rsidR="00E63213" w:rsidRDefault="00E6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6F" w:rsidRDefault="00202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6F" w:rsidRDefault="0020206F" w:rsidP="004E51A2">
    <w:pPr>
      <w:pStyle w:val="Footer"/>
      <w:tabs>
        <w:tab w:val="clear" w:pos="4320"/>
        <w:tab w:val="clear" w:pos="8640"/>
        <w:tab w:val="right" w:pos="9360"/>
      </w:tabs>
      <w:rPr>
        <w:rStyle w:val="PageNumber"/>
        <w:rFonts w:cs="Arial"/>
        <w:sz w:val="16"/>
        <w:szCs w:val="16"/>
      </w:rPr>
    </w:pPr>
    <w:r>
      <w:rPr>
        <w:rFonts w:cs="Arial"/>
        <w:sz w:val="16"/>
        <w:szCs w:val="16"/>
      </w:rPr>
      <w:t>Part C State Annual Performance Report for FFY12</w:t>
    </w:r>
    <w:r>
      <w:rPr>
        <w:rFonts w:cs="Arial"/>
        <w:sz w:val="16"/>
        <w:szCs w:val="16"/>
      </w:rPr>
      <w:tab/>
      <w:t xml:space="preserve"> 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2024EF">
      <w:rPr>
        <w:rStyle w:val="PageNumber"/>
        <w:rFonts w:cs="Arial"/>
        <w:noProof/>
        <w:sz w:val="16"/>
        <w:szCs w:val="16"/>
      </w:rPr>
      <w:t>28</w:t>
    </w:r>
    <w:r>
      <w:rPr>
        <w:rStyle w:val="PageNumber"/>
        <w:rFonts w:cs="Arial"/>
        <w:sz w:val="16"/>
        <w:szCs w:val="16"/>
      </w:rPr>
      <w:fldChar w:fldCharType="end"/>
    </w:r>
  </w:p>
  <w:p w:rsidR="0020206F" w:rsidRPr="004E51A2" w:rsidRDefault="0020206F" w:rsidP="004E51A2">
    <w:pPr>
      <w:pStyle w:val="Footer"/>
      <w:rPr>
        <w:rFonts w:cs="Arial"/>
        <w:sz w:val="16"/>
        <w:szCs w:val="16"/>
      </w:rPr>
    </w:pPr>
    <w:r>
      <w:rPr>
        <w:rStyle w:val="PageNumber"/>
        <w:rFonts w:cs="Arial"/>
        <w:sz w:val="16"/>
        <w:szCs w:val="16"/>
      </w:rPr>
      <w:t>(OMB NO: 1820-0578 / Expiration Date: 8/31/2014 / Based on the OMB Cleared Measurement Table)</w:t>
    </w:r>
    <w:r>
      <w:rPr>
        <w:rStyle w:val="PageNumbe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13" w:rsidRDefault="00E63213">
      <w:r>
        <w:separator/>
      </w:r>
    </w:p>
  </w:footnote>
  <w:footnote w:type="continuationSeparator" w:id="0">
    <w:p w:rsidR="00E63213" w:rsidRDefault="00E6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6F" w:rsidRDefault="0020206F" w:rsidP="00112EF3">
    <w:pPr>
      <w:pStyle w:val="Header"/>
      <w:tabs>
        <w:tab w:val="clear" w:pos="4320"/>
        <w:tab w:val="clear" w:pos="8640"/>
        <w:tab w:val="right" w:pos="8910"/>
      </w:tabs>
      <w:rPr>
        <w:rFonts w:cs="Arial"/>
        <w:sz w:val="20"/>
        <w:szCs w:val="20"/>
      </w:rPr>
    </w:pPr>
    <w:r>
      <w:rPr>
        <w:rFonts w:cs="Arial"/>
        <w:b/>
        <w:sz w:val="28"/>
        <w:szCs w:val="28"/>
      </w:rPr>
      <w:t>APR Template – Part C (4)</w:t>
    </w:r>
    <w:r>
      <w:rPr>
        <w:rFonts w:cs="Arial"/>
        <w:sz w:val="20"/>
        <w:szCs w:val="20"/>
      </w:rPr>
      <w:tab/>
    </w:r>
    <w:r>
      <w:rPr>
        <w:rFonts w:cs="Arial"/>
        <w:sz w:val="20"/>
        <w:szCs w:val="20"/>
        <w:u w:val="single"/>
      </w:rPr>
      <w:t>Connecticut</w:t>
    </w:r>
    <w:r>
      <w:rPr>
        <w:rFonts w:cs="Arial"/>
        <w:sz w:val="20"/>
        <w:szCs w:val="20"/>
      </w:rPr>
      <w:t xml:space="preserve">   </w:t>
    </w:r>
  </w:p>
  <w:p w:rsidR="0020206F" w:rsidRPr="004E51A2" w:rsidRDefault="0020206F" w:rsidP="004E51A2">
    <w:pPr>
      <w:pStyle w:val="Header"/>
      <w:tabs>
        <w:tab w:val="clear" w:pos="4320"/>
      </w:tabs>
      <w:rPr>
        <w:rFonts w:cs="Arial"/>
        <w:sz w:val="20"/>
        <w:szCs w:val="20"/>
      </w:rPr>
    </w:pPr>
    <w:r>
      <w:rPr>
        <w:rFonts w:cs="Arial"/>
        <w:sz w:val="20"/>
        <w:szCs w:val="20"/>
      </w:rPr>
      <w:tab/>
      <w:t>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C79"/>
    <w:multiLevelType w:val="hybridMultilevel"/>
    <w:tmpl w:val="4350B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2452C"/>
    <w:multiLevelType w:val="hybridMultilevel"/>
    <w:tmpl w:val="94CAB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314AC"/>
    <w:multiLevelType w:val="hybridMultilevel"/>
    <w:tmpl w:val="51929E26"/>
    <w:lvl w:ilvl="0" w:tplc="FFFFFFFF">
      <w:start w:val="1"/>
      <w:numFmt w:val="decimal"/>
      <w:lvlText w:val="%1."/>
      <w:lvlJc w:val="left"/>
      <w:pPr>
        <w:tabs>
          <w:tab w:val="num" w:pos="656"/>
        </w:tabs>
        <w:ind w:left="656" w:hanging="360"/>
      </w:pPr>
      <w:rPr>
        <w:rFonts w:hint="default"/>
      </w:rPr>
    </w:lvl>
    <w:lvl w:ilvl="1" w:tplc="FFFFFFFF">
      <w:start w:val="1"/>
      <w:numFmt w:val="lowerLetter"/>
      <w:lvlText w:val="%2."/>
      <w:lvlJc w:val="left"/>
      <w:pPr>
        <w:tabs>
          <w:tab w:val="num" w:pos="1376"/>
        </w:tabs>
        <w:ind w:left="1376" w:hanging="360"/>
      </w:pPr>
    </w:lvl>
    <w:lvl w:ilvl="2" w:tplc="FFFFFFFF">
      <w:start w:val="2"/>
      <w:numFmt w:val="upperLetter"/>
      <w:lvlText w:val="%3."/>
      <w:lvlJc w:val="left"/>
      <w:pPr>
        <w:tabs>
          <w:tab w:val="num" w:pos="2276"/>
        </w:tabs>
        <w:ind w:left="2276" w:hanging="360"/>
      </w:pPr>
      <w:rPr>
        <w:rFonts w:hint="default"/>
      </w:rPr>
    </w:lvl>
    <w:lvl w:ilvl="3" w:tplc="FFFFFFFF">
      <w:start w:val="618"/>
      <w:numFmt w:val="decimal"/>
      <w:lvlText w:val="%4"/>
      <w:lvlJc w:val="left"/>
      <w:pPr>
        <w:tabs>
          <w:tab w:val="num" w:pos="2816"/>
        </w:tabs>
        <w:ind w:left="2908" w:hanging="452"/>
      </w:pPr>
      <w:rPr>
        <w:rFonts w:hint="default"/>
      </w:rPr>
    </w:lvl>
    <w:lvl w:ilvl="4" w:tplc="FFFFFFFF" w:tentative="1">
      <w:start w:val="1"/>
      <w:numFmt w:val="lowerLetter"/>
      <w:lvlText w:val="%5."/>
      <w:lvlJc w:val="left"/>
      <w:pPr>
        <w:tabs>
          <w:tab w:val="num" w:pos="3536"/>
        </w:tabs>
        <w:ind w:left="3536" w:hanging="360"/>
      </w:pPr>
    </w:lvl>
    <w:lvl w:ilvl="5" w:tplc="FFFFFFFF" w:tentative="1">
      <w:start w:val="1"/>
      <w:numFmt w:val="lowerRoman"/>
      <w:lvlText w:val="%6."/>
      <w:lvlJc w:val="right"/>
      <w:pPr>
        <w:tabs>
          <w:tab w:val="num" w:pos="4256"/>
        </w:tabs>
        <w:ind w:left="4256" w:hanging="180"/>
      </w:pPr>
    </w:lvl>
    <w:lvl w:ilvl="6" w:tplc="FFFFFFFF" w:tentative="1">
      <w:start w:val="1"/>
      <w:numFmt w:val="decimal"/>
      <w:lvlText w:val="%7."/>
      <w:lvlJc w:val="left"/>
      <w:pPr>
        <w:tabs>
          <w:tab w:val="num" w:pos="4976"/>
        </w:tabs>
        <w:ind w:left="4976" w:hanging="360"/>
      </w:pPr>
    </w:lvl>
    <w:lvl w:ilvl="7" w:tplc="FFFFFFFF" w:tentative="1">
      <w:start w:val="1"/>
      <w:numFmt w:val="lowerLetter"/>
      <w:lvlText w:val="%8."/>
      <w:lvlJc w:val="left"/>
      <w:pPr>
        <w:tabs>
          <w:tab w:val="num" w:pos="5696"/>
        </w:tabs>
        <w:ind w:left="5696" w:hanging="360"/>
      </w:pPr>
    </w:lvl>
    <w:lvl w:ilvl="8" w:tplc="FFFFFFFF" w:tentative="1">
      <w:start w:val="1"/>
      <w:numFmt w:val="lowerRoman"/>
      <w:lvlText w:val="%9."/>
      <w:lvlJc w:val="right"/>
      <w:pPr>
        <w:tabs>
          <w:tab w:val="num" w:pos="6416"/>
        </w:tabs>
        <w:ind w:left="6416" w:hanging="180"/>
      </w:pPr>
    </w:lvl>
  </w:abstractNum>
  <w:abstractNum w:abstractNumId="3">
    <w:nsid w:val="14595F85"/>
    <w:multiLevelType w:val="hybridMultilevel"/>
    <w:tmpl w:val="27043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30A0C"/>
    <w:multiLevelType w:val="hybridMultilevel"/>
    <w:tmpl w:val="6B2CFD78"/>
    <w:lvl w:ilvl="0" w:tplc="9014D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376BD"/>
    <w:multiLevelType w:val="hybridMultilevel"/>
    <w:tmpl w:val="59E4F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52833"/>
    <w:multiLevelType w:val="hybridMultilevel"/>
    <w:tmpl w:val="6B2CFD78"/>
    <w:lvl w:ilvl="0" w:tplc="9014D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6422A"/>
    <w:multiLevelType w:val="hybridMultilevel"/>
    <w:tmpl w:val="27043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A6D65"/>
    <w:multiLevelType w:val="hybridMultilevel"/>
    <w:tmpl w:val="9202C5F0"/>
    <w:lvl w:ilvl="0" w:tplc="3A289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A39B4"/>
    <w:multiLevelType w:val="hybridMultilevel"/>
    <w:tmpl w:val="E6ECA7B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931694"/>
    <w:multiLevelType w:val="hybridMultilevel"/>
    <w:tmpl w:val="C08AE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D3692"/>
    <w:multiLevelType w:val="hybridMultilevel"/>
    <w:tmpl w:val="7F94DC2A"/>
    <w:lvl w:ilvl="0" w:tplc="AEFA60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9088C"/>
    <w:multiLevelType w:val="hybridMultilevel"/>
    <w:tmpl w:val="47DC3388"/>
    <w:lvl w:ilvl="0" w:tplc="CD8E6B36">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23485"/>
    <w:multiLevelType w:val="hybridMultilevel"/>
    <w:tmpl w:val="07943256"/>
    <w:lvl w:ilvl="0" w:tplc="680E4E8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B0B38"/>
    <w:multiLevelType w:val="hybridMultilevel"/>
    <w:tmpl w:val="1BB083DC"/>
    <w:lvl w:ilvl="0" w:tplc="FFFFFFFF">
      <w:start w:val="1"/>
      <w:numFmt w:val="lowerLetter"/>
      <w:lvlText w:val="%1."/>
      <w:lvlJc w:val="left"/>
      <w:pPr>
        <w:tabs>
          <w:tab w:val="num" w:pos="552"/>
        </w:tabs>
        <w:ind w:left="552" w:hanging="360"/>
      </w:pPr>
      <w:rPr>
        <w:rFonts w:hint="default"/>
      </w:rPr>
    </w:lvl>
    <w:lvl w:ilvl="1" w:tplc="FFFFFFFF" w:tentative="1">
      <w:start w:val="1"/>
      <w:numFmt w:val="lowerLetter"/>
      <w:lvlText w:val="%2."/>
      <w:lvlJc w:val="left"/>
      <w:pPr>
        <w:tabs>
          <w:tab w:val="num" w:pos="1272"/>
        </w:tabs>
        <w:ind w:left="1272" w:hanging="360"/>
      </w:pPr>
    </w:lvl>
    <w:lvl w:ilvl="2" w:tplc="FFFFFFFF" w:tentative="1">
      <w:start w:val="1"/>
      <w:numFmt w:val="lowerRoman"/>
      <w:lvlText w:val="%3."/>
      <w:lvlJc w:val="right"/>
      <w:pPr>
        <w:tabs>
          <w:tab w:val="num" w:pos="1992"/>
        </w:tabs>
        <w:ind w:left="1992" w:hanging="180"/>
      </w:pPr>
    </w:lvl>
    <w:lvl w:ilvl="3" w:tplc="FFFFFFFF" w:tentative="1">
      <w:start w:val="1"/>
      <w:numFmt w:val="decimal"/>
      <w:lvlText w:val="%4."/>
      <w:lvlJc w:val="left"/>
      <w:pPr>
        <w:tabs>
          <w:tab w:val="num" w:pos="2712"/>
        </w:tabs>
        <w:ind w:left="2712" w:hanging="360"/>
      </w:pPr>
    </w:lvl>
    <w:lvl w:ilvl="4" w:tplc="FFFFFFFF" w:tentative="1">
      <w:start w:val="1"/>
      <w:numFmt w:val="lowerLetter"/>
      <w:lvlText w:val="%5."/>
      <w:lvlJc w:val="left"/>
      <w:pPr>
        <w:tabs>
          <w:tab w:val="num" w:pos="3432"/>
        </w:tabs>
        <w:ind w:left="3432" w:hanging="360"/>
      </w:pPr>
    </w:lvl>
    <w:lvl w:ilvl="5" w:tplc="FFFFFFFF" w:tentative="1">
      <w:start w:val="1"/>
      <w:numFmt w:val="lowerRoman"/>
      <w:lvlText w:val="%6."/>
      <w:lvlJc w:val="right"/>
      <w:pPr>
        <w:tabs>
          <w:tab w:val="num" w:pos="4152"/>
        </w:tabs>
        <w:ind w:left="4152" w:hanging="180"/>
      </w:pPr>
    </w:lvl>
    <w:lvl w:ilvl="6" w:tplc="FFFFFFFF" w:tentative="1">
      <w:start w:val="1"/>
      <w:numFmt w:val="decimal"/>
      <w:lvlText w:val="%7."/>
      <w:lvlJc w:val="left"/>
      <w:pPr>
        <w:tabs>
          <w:tab w:val="num" w:pos="4872"/>
        </w:tabs>
        <w:ind w:left="4872" w:hanging="360"/>
      </w:pPr>
    </w:lvl>
    <w:lvl w:ilvl="7" w:tplc="FFFFFFFF" w:tentative="1">
      <w:start w:val="1"/>
      <w:numFmt w:val="lowerLetter"/>
      <w:lvlText w:val="%8."/>
      <w:lvlJc w:val="left"/>
      <w:pPr>
        <w:tabs>
          <w:tab w:val="num" w:pos="5592"/>
        </w:tabs>
        <w:ind w:left="5592" w:hanging="360"/>
      </w:pPr>
    </w:lvl>
    <w:lvl w:ilvl="8" w:tplc="FFFFFFFF" w:tentative="1">
      <w:start w:val="1"/>
      <w:numFmt w:val="lowerRoman"/>
      <w:lvlText w:val="%9."/>
      <w:lvlJc w:val="right"/>
      <w:pPr>
        <w:tabs>
          <w:tab w:val="num" w:pos="6312"/>
        </w:tabs>
        <w:ind w:left="6312" w:hanging="180"/>
      </w:pPr>
    </w:lvl>
  </w:abstractNum>
  <w:abstractNum w:abstractNumId="15">
    <w:nsid w:val="46BE20BF"/>
    <w:multiLevelType w:val="hybridMultilevel"/>
    <w:tmpl w:val="27043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D0162"/>
    <w:multiLevelType w:val="hybridMultilevel"/>
    <w:tmpl w:val="59E4F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C1588"/>
    <w:multiLevelType w:val="hybridMultilevel"/>
    <w:tmpl w:val="6DF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C0530"/>
    <w:multiLevelType w:val="hybridMultilevel"/>
    <w:tmpl w:val="7E9455EA"/>
    <w:lvl w:ilvl="0" w:tplc="851E7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050A8"/>
    <w:multiLevelType w:val="hybridMultilevel"/>
    <w:tmpl w:val="6B2CFD78"/>
    <w:lvl w:ilvl="0" w:tplc="9014D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B4D54"/>
    <w:multiLevelType w:val="hybridMultilevel"/>
    <w:tmpl w:val="F7284052"/>
    <w:lvl w:ilvl="0" w:tplc="00668A88">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DF3425"/>
    <w:multiLevelType w:val="hybridMultilevel"/>
    <w:tmpl w:val="27043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106"/>
    <w:multiLevelType w:val="hybridMultilevel"/>
    <w:tmpl w:val="DDA0C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C1AEC"/>
    <w:multiLevelType w:val="hybridMultilevel"/>
    <w:tmpl w:val="FE7C6CD4"/>
    <w:lvl w:ilvl="0" w:tplc="54F22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405F4"/>
    <w:multiLevelType w:val="hybridMultilevel"/>
    <w:tmpl w:val="48D4419C"/>
    <w:lvl w:ilvl="0" w:tplc="FFFFFFFF">
      <w:start w:val="1"/>
      <w:numFmt w:val="lowerLetter"/>
      <w:lvlText w:val="%1."/>
      <w:lvlJc w:val="left"/>
      <w:pPr>
        <w:tabs>
          <w:tab w:val="num" w:pos="552"/>
        </w:tabs>
        <w:ind w:left="552" w:hanging="360"/>
      </w:pPr>
      <w:rPr>
        <w:rFonts w:hint="default"/>
      </w:rPr>
    </w:lvl>
    <w:lvl w:ilvl="1" w:tplc="FFFFFFFF" w:tentative="1">
      <w:start w:val="1"/>
      <w:numFmt w:val="lowerLetter"/>
      <w:lvlText w:val="%2."/>
      <w:lvlJc w:val="left"/>
      <w:pPr>
        <w:tabs>
          <w:tab w:val="num" w:pos="1272"/>
        </w:tabs>
        <w:ind w:left="1272" w:hanging="360"/>
      </w:pPr>
    </w:lvl>
    <w:lvl w:ilvl="2" w:tplc="FFFFFFFF" w:tentative="1">
      <w:start w:val="1"/>
      <w:numFmt w:val="lowerRoman"/>
      <w:lvlText w:val="%3."/>
      <w:lvlJc w:val="right"/>
      <w:pPr>
        <w:tabs>
          <w:tab w:val="num" w:pos="1992"/>
        </w:tabs>
        <w:ind w:left="1992" w:hanging="180"/>
      </w:pPr>
    </w:lvl>
    <w:lvl w:ilvl="3" w:tplc="FFFFFFFF" w:tentative="1">
      <w:start w:val="1"/>
      <w:numFmt w:val="decimal"/>
      <w:lvlText w:val="%4."/>
      <w:lvlJc w:val="left"/>
      <w:pPr>
        <w:tabs>
          <w:tab w:val="num" w:pos="2712"/>
        </w:tabs>
        <w:ind w:left="2712" w:hanging="360"/>
      </w:pPr>
    </w:lvl>
    <w:lvl w:ilvl="4" w:tplc="FFFFFFFF" w:tentative="1">
      <w:start w:val="1"/>
      <w:numFmt w:val="lowerLetter"/>
      <w:lvlText w:val="%5."/>
      <w:lvlJc w:val="left"/>
      <w:pPr>
        <w:tabs>
          <w:tab w:val="num" w:pos="3432"/>
        </w:tabs>
        <w:ind w:left="3432" w:hanging="360"/>
      </w:pPr>
    </w:lvl>
    <w:lvl w:ilvl="5" w:tplc="FFFFFFFF" w:tentative="1">
      <w:start w:val="1"/>
      <w:numFmt w:val="lowerRoman"/>
      <w:lvlText w:val="%6."/>
      <w:lvlJc w:val="right"/>
      <w:pPr>
        <w:tabs>
          <w:tab w:val="num" w:pos="4152"/>
        </w:tabs>
        <w:ind w:left="4152" w:hanging="180"/>
      </w:pPr>
    </w:lvl>
    <w:lvl w:ilvl="6" w:tplc="FFFFFFFF" w:tentative="1">
      <w:start w:val="1"/>
      <w:numFmt w:val="decimal"/>
      <w:lvlText w:val="%7."/>
      <w:lvlJc w:val="left"/>
      <w:pPr>
        <w:tabs>
          <w:tab w:val="num" w:pos="4872"/>
        </w:tabs>
        <w:ind w:left="4872" w:hanging="360"/>
      </w:pPr>
    </w:lvl>
    <w:lvl w:ilvl="7" w:tplc="FFFFFFFF" w:tentative="1">
      <w:start w:val="1"/>
      <w:numFmt w:val="lowerLetter"/>
      <w:lvlText w:val="%8."/>
      <w:lvlJc w:val="left"/>
      <w:pPr>
        <w:tabs>
          <w:tab w:val="num" w:pos="5592"/>
        </w:tabs>
        <w:ind w:left="5592" w:hanging="360"/>
      </w:pPr>
    </w:lvl>
    <w:lvl w:ilvl="8" w:tplc="FFFFFFFF" w:tentative="1">
      <w:start w:val="1"/>
      <w:numFmt w:val="lowerRoman"/>
      <w:lvlText w:val="%9."/>
      <w:lvlJc w:val="right"/>
      <w:pPr>
        <w:tabs>
          <w:tab w:val="num" w:pos="6312"/>
        </w:tabs>
        <w:ind w:left="6312" w:hanging="180"/>
      </w:pPr>
    </w:lvl>
  </w:abstractNum>
  <w:abstractNum w:abstractNumId="25">
    <w:nsid w:val="6EFB51BD"/>
    <w:multiLevelType w:val="hybridMultilevel"/>
    <w:tmpl w:val="59E4F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C5708"/>
    <w:multiLevelType w:val="hybridMultilevel"/>
    <w:tmpl w:val="6A0840A0"/>
    <w:lvl w:ilvl="0" w:tplc="84DC70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D5733"/>
    <w:multiLevelType w:val="hybridMultilevel"/>
    <w:tmpl w:val="12F6D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500A5"/>
    <w:multiLevelType w:val="hybridMultilevel"/>
    <w:tmpl w:val="ED7C4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2077E"/>
    <w:multiLevelType w:val="hybridMultilevel"/>
    <w:tmpl w:val="19180D28"/>
    <w:lvl w:ilvl="0" w:tplc="1B88A3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B6FB0"/>
    <w:multiLevelType w:val="hybridMultilevel"/>
    <w:tmpl w:val="E7BE140E"/>
    <w:lvl w:ilvl="0" w:tplc="7076B85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F815963"/>
    <w:multiLevelType w:val="hybridMultilevel"/>
    <w:tmpl w:val="09045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2"/>
  </w:num>
  <w:num w:numId="5">
    <w:abstractNumId w:val="13"/>
  </w:num>
  <w:num w:numId="6">
    <w:abstractNumId w:val="17"/>
  </w:num>
  <w:num w:numId="7">
    <w:abstractNumId w:val="30"/>
  </w:num>
  <w:num w:numId="8">
    <w:abstractNumId w:val="15"/>
  </w:num>
  <w:num w:numId="9">
    <w:abstractNumId w:val="6"/>
  </w:num>
  <w:num w:numId="10">
    <w:abstractNumId w:val="21"/>
  </w:num>
  <w:num w:numId="11">
    <w:abstractNumId w:val="3"/>
  </w:num>
  <w:num w:numId="12">
    <w:abstractNumId w:val="8"/>
  </w:num>
  <w:num w:numId="13">
    <w:abstractNumId w:val="19"/>
  </w:num>
  <w:num w:numId="14">
    <w:abstractNumId w:val="29"/>
  </w:num>
  <w:num w:numId="15">
    <w:abstractNumId w:val="11"/>
  </w:num>
  <w:num w:numId="16">
    <w:abstractNumId w:val="23"/>
  </w:num>
  <w:num w:numId="17">
    <w:abstractNumId w:val="10"/>
  </w:num>
  <w:num w:numId="18">
    <w:abstractNumId w:val="7"/>
  </w:num>
  <w:num w:numId="19">
    <w:abstractNumId w:val="18"/>
  </w:num>
  <w:num w:numId="20">
    <w:abstractNumId w:val="4"/>
  </w:num>
  <w:num w:numId="21">
    <w:abstractNumId w:val="27"/>
  </w:num>
  <w:num w:numId="22">
    <w:abstractNumId w:val="22"/>
  </w:num>
  <w:num w:numId="23">
    <w:abstractNumId w:val="20"/>
  </w:num>
  <w:num w:numId="24">
    <w:abstractNumId w:val="26"/>
  </w:num>
  <w:num w:numId="25">
    <w:abstractNumId w:val="12"/>
  </w:num>
  <w:num w:numId="26">
    <w:abstractNumId w:val="28"/>
  </w:num>
  <w:num w:numId="27">
    <w:abstractNumId w:val="16"/>
  </w:num>
  <w:num w:numId="28">
    <w:abstractNumId w:val="0"/>
  </w:num>
  <w:num w:numId="29">
    <w:abstractNumId w:val="31"/>
  </w:num>
  <w:num w:numId="30">
    <w:abstractNumId w:val="5"/>
  </w:num>
  <w:num w:numId="31">
    <w:abstractNumId w:val="1"/>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29"/>
    <w:rsid w:val="00000232"/>
    <w:rsid w:val="00003898"/>
    <w:rsid w:val="00003FB0"/>
    <w:rsid w:val="000040AA"/>
    <w:rsid w:val="00006A01"/>
    <w:rsid w:val="000073F9"/>
    <w:rsid w:val="00007944"/>
    <w:rsid w:val="000105F9"/>
    <w:rsid w:val="00010B7E"/>
    <w:rsid w:val="0001326E"/>
    <w:rsid w:val="00014AF2"/>
    <w:rsid w:val="00014AFD"/>
    <w:rsid w:val="00021B9A"/>
    <w:rsid w:val="00021C82"/>
    <w:rsid w:val="0002298C"/>
    <w:rsid w:val="000252BC"/>
    <w:rsid w:val="000258A7"/>
    <w:rsid w:val="00026BA9"/>
    <w:rsid w:val="00027A5C"/>
    <w:rsid w:val="0003476F"/>
    <w:rsid w:val="00036657"/>
    <w:rsid w:val="000366D0"/>
    <w:rsid w:val="000419C5"/>
    <w:rsid w:val="00042282"/>
    <w:rsid w:val="00043CB4"/>
    <w:rsid w:val="00043F4F"/>
    <w:rsid w:val="00044040"/>
    <w:rsid w:val="00044243"/>
    <w:rsid w:val="000446E9"/>
    <w:rsid w:val="000506D2"/>
    <w:rsid w:val="00052790"/>
    <w:rsid w:val="0005392D"/>
    <w:rsid w:val="00054CB3"/>
    <w:rsid w:val="00054E70"/>
    <w:rsid w:val="000553F7"/>
    <w:rsid w:val="000578F5"/>
    <w:rsid w:val="00060CDC"/>
    <w:rsid w:val="000626B4"/>
    <w:rsid w:val="00063A80"/>
    <w:rsid w:val="00065DFB"/>
    <w:rsid w:val="00066E97"/>
    <w:rsid w:val="000711D1"/>
    <w:rsid w:val="000713C9"/>
    <w:rsid w:val="00071B5F"/>
    <w:rsid w:val="000734F2"/>
    <w:rsid w:val="000739D4"/>
    <w:rsid w:val="00074515"/>
    <w:rsid w:val="00074B55"/>
    <w:rsid w:val="00076BEF"/>
    <w:rsid w:val="00083A12"/>
    <w:rsid w:val="00084DB5"/>
    <w:rsid w:val="00085CA0"/>
    <w:rsid w:val="0008618A"/>
    <w:rsid w:val="00086476"/>
    <w:rsid w:val="000873CF"/>
    <w:rsid w:val="00087F41"/>
    <w:rsid w:val="000959D2"/>
    <w:rsid w:val="0009665B"/>
    <w:rsid w:val="000A0CB6"/>
    <w:rsid w:val="000A249F"/>
    <w:rsid w:val="000A4FB5"/>
    <w:rsid w:val="000A72ED"/>
    <w:rsid w:val="000A7F30"/>
    <w:rsid w:val="000B24AE"/>
    <w:rsid w:val="000B2AD0"/>
    <w:rsid w:val="000B2E2E"/>
    <w:rsid w:val="000B2E6D"/>
    <w:rsid w:val="000B2FE2"/>
    <w:rsid w:val="000B4302"/>
    <w:rsid w:val="000B4AD4"/>
    <w:rsid w:val="000B4AF6"/>
    <w:rsid w:val="000B565F"/>
    <w:rsid w:val="000C0620"/>
    <w:rsid w:val="000C0AD4"/>
    <w:rsid w:val="000C0F6F"/>
    <w:rsid w:val="000C1590"/>
    <w:rsid w:val="000C2353"/>
    <w:rsid w:val="000C28D6"/>
    <w:rsid w:val="000C326C"/>
    <w:rsid w:val="000C3C7A"/>
    <w:rsid w:val="000C607B"/>
    <w:rsid w:val="000C65DF"/>
    <w:rsid w:val="000C7C4A"/>
    <w:rsid w:val="000D1512"/>
    <w:rsid w:val="000D3390"/>
    <w:rsid w:val="000D5E2A"/>
    <w:rsid w:val="000D61B4"/>
    <w:rsid w:val="000E178C"/>
    <w:rsid w:val="000E1C7F"/>
    <w:rsid w:val="000E360E"/>
    <w:rsid w:val="000E3D8A"/>
    <w:rsid w:val="000E403B"/>
    <w:rsid w:val="000E41F9"/>
    <w:rsid w:val="000E6AEE"/>
    <w:rsid w:val="000E70E1"/>
    <w:rsid w:val="000F25F8"/>
    <w:rsid w:val="000F63B8"/>
    <w:rsid w:val="000F7552"/>
    <w:rsid w:val="0010045F"/>
    <w:rsid w:val="00101327"/>
    <w:rsid w:val="00103888"/>
    <w:rsid w:val="00104485"/>
    <w:rsid w:val="00105D05"/>
    <w:rsid w:val="00106BE9"/>
    <w:rsid w:val="00106D08"/>
    <w:rsid w:val="00110499"/>
    <w:rsid w:val="0011054E"/>
    <w:rsid w:val="00112304"/>
    <w:rsid w:val="00112EF3"/>
    <w:rsid w:val="001131C4"/>
    <w:rsid w:val="00114B55"/>
    <w:rsid w:val="001151E3"/>
    <w:rsid w:val="0011559A"/>
    <w:rsid w:val="0012025B"/>
    <w:rsid w:val="00123F05"/>
    <w:rsid w:val="00124133"/>
    <w:rsid w:val="0012585A"/>
    <w:rsid w:val="00131389"/>
    <w:rsid w:val="001317D6"/>
    <w:rsid w:val="00135190"/>
    <w:rsid w:val="00135F33"/>
    <w:rsid w:val="00136BC7"/>
    <w:rsid w:val="00137F04"/>
    <w:rsid w:val="00140B1A"/>
    <w:rsid w:val="0014408E"/>
    <w:rsid w:val="00145C32"/>
    <w:rsid w:val="00146C7A"/>
    <w:rsid w:val="001472C3"/>
    <w:rsid w:val="0014737B"/>
    <w:rsid w:val="00147D22"/>
    <w:rsid w:val="001503B7"/>
    <w:rsid w:val="00150630"/>
    <w:rsid w:val="001509F9"/>
    <w:rsid w:val="0015217F"/>
    <w:rsid w:val="00152C46"/>
    <w:rsid w:val="00152E2A"/>
    <w:rsid w:val="00154DDD"/>
    <w:rsid w:val="001560E5"/>
    <w:rsid w:val="001603FD"/>
    <w:rsid w:val="001633B7"/>
    <w:rsid w:val="00163F09"/>
    <w:rsid w:val="001642F7"/>
    <w:rsid w:val="00164786"/>
    <w:rsid w:val="00164B6C"/>
    <w:rsid w:val="00165639"/>
    <w:rsid w:val="00166906"/>
    <w:rsid w:val="00166BE1"/>
    <w:rsid w:val="00167452"/>
    <w:rsid w:val="00167B7E"/>
    <w:rsid w:val="001717B2"/>
    <w:rsid w:val="001717CB"/>
    <w:rsid w:val="0017402A"/>
    <w:rsid w:val="001758FD"/>
    <w:rsid w:val="00175B12"/>
    <w:rsid w:val="001806C0"/>
    <w:rsid w:val="00181BB4"/>
    <w:rsid w:val="0018291F"/>
    <w:rsid w:val="00182A48"/>
    <w:rsid w:val="00183420"/>
    <w:rsid w:val="00184A02"/>
    <w:rsid w:val="00185261"/>
    <w:rsid w:val="00186E28"/>
    <w:rsid w:val="001879A9"/>
    <w:rsid w:val="00187DED"/>
    <w:rsid w:val="00190488"/>
    <w:rsid w:val="00192829"/>
    <w:rsid w:val="001932F5"/>
    <w:rsid w:val="001933E7"/>
    <w:rsid w:val="00193520"/>
    <w:rsid w:val="001939F0"/>
    <w:rsid w:val="0019438D"/>
    <w:rsid w:val="001949EB"/>
    <w:rsid w:val="00196918"/>
    <w:rsid w:val="00196A3A"/>
    <w:rsid w:val="001A29A4"/>
    <w:rsid w:val="001A35D1"/>
    <w:rsid w:val="001A6B25"/>
    <w:rsid w:val="001A6BF4"/>
    <w:rsid w:val="001B0B1D"/>
    <w:rsid w:val="001B1C36"/>
    <w:rsid w:val="001B322F"/>
    <w:rsid w:val="001B3B12"/>
    <w:rsid w:val="001B3B63"/>
    <w:rsid w:val="001B3F35"/>
    <w:rsid w:val="001B4558"/>
    <w:rsid w:val="001B4BC5"/>
    <w:rsid w:val="001B6676"/>
    <w:rsid w:val="001B74AD"/>
    <w:rsid w:val="001B7673"/>
    <w:rsid w:val="001C09BA"/>
    <w:rsid w:val="001C0A7C"/>
    <w:rsid w:val="001C0EBC"/>
    <w:rsid w:val="001C1B71"/>
    <w:rsid w:val="001C252E"/>
    <w:rsid w:val="001C272F"/>
    <w:rsid w:val="001C71C2"/>
    <w:rsid w:val="001C7E9A"/>
    <w:rsid w:val="001D0DE8"/>
    <w:rsid w:val="001D2E94"/>
    <w:rsid w:val="001D2ED8"/>
    <w:rsid w:val="001D433F"/>
    <w:rsid w:val="001D4346"/>
    <w:rsid w:val="001D5BDE"/>
    <w:rsid w:val="001D74BA"/>
    <w:rsid w:val="001E0776"/>
    <w:rsid w:val="001E30D9"/>
    <w:rsid w:val="001E3D55"/>
    <w:rsid w:val="001E43DD"/>
    <w:rsid w:val="001E50E5"/>
    <w:rsid w:val="001E5551"/>
    <w:rsid w:val="001E5F74"/>
    <w:rsid w:val="001E6BA7"/>
    <w:rsid w:val="001E6FA2"/>
    <w:rsid w:val="001F0487"/>
    <w:rsid w:val="001F135F"/>
    <w:rsid w:val="001F18A2"/>
    <w:rsid w:val="001F24FD"/>
    <w:rsid w:val="001F2900"/>
    <w:rsid w:val="001F2FCB"/>
    <w:rsid w:val="001F34AA"/>
    <w:rsid w:val="001F3B08"/>
    <w:rsid w:val="001F4201"/>
    <w:rsid w:val="00200238"/>
    <w:rsid w:val="0020206F"/>
    <w:rsid w:val="002024EF"/>
    <w:rsid w:val="0020384A"/>
    <w:rsid w:val="00205C4E"/>
    <w:rsid w:val="00205CB3"/>
    <w:rsid w:val="002064FF"/>
    <w:rsid w:val="00206924"/>
    <w:rsid w:val="00207B94"/>
    <w:rsid w:val="00210DB4"/>
    <w:rsid w:val="00212A31"/>
    <w:rsid w:val="00214559"/>
    <w:rsid w:val="00214654"/>
    <w:rsid w:val="002149EB"/>
    <w:rsid w:val="0021509C"/>
    <w:rsid w:val="0021536C"/>
    <w:rsid w:val="00215EE8"/>
    <w:rsid w:val="00216273"/>
    <w:rsid w:val="00216F3F"/>
    <w:rsid w:val="002176B5"/>
    <w:rsid w:val="00217A96"/>
    <w:rsid w:val="00220DA6"/>
    <w:rsid w:val="002210BD"/>
    <w:rsid w:val="002214EF"/>
    <w:rsid w:val="002219A3"/>
    <w:rsid w:val="00221C66"/>
    <w:rsid w:val="0022352D"/>
    <w:rsid w:val="0022458C"/>
    <w:rsid w:val="00230F4B"/>
    <w:rsid w:val="00230FE2"/>
    <w:rsid w:val="00232610"/>
    <w:rsid w:val="0023274F"/>
    <w:rsid w:val="00232FEA"/>
    <w:rsid w:val="00233021"/>
    <w:rsid w:val="002332AF"/>
    <w:rsid w:val="002347E3"/>
    <w:rsid w:val="00235ECB"/>
    <w:rsid w:val="00236ABD"/>
    <w:rsid w:val="00247634"/>
    <w:rsid w:val="0024778C"/>
    <w:rsid w:val="00247C6B"/>
    <w:rsid w:val="00251E1F"/>
    <w:rsid w:val="002521F1"/>
    <w:rsid w:val="00252266"/>
    <w:rsid w:val="00252F00"/>
    <w:rsid w:val="00253D40"/>
    <w:rsid w:val="00255333"/>
    <w:rsid w:val="002566B3"/>
    <w:rsid w:val="00257C81"/>
    <w:rsid w:val="00260169"/>
    <w:rsid w:val="00262593"/>
    <w:rsid w:val="00262A00"/>
    <w:rsid w:val="002641D8"/>
    <w:rsid w:val="00264621"/>
    <w:rsid w:val="0026788F"/>
    <w:rsid w:val="002707F8"/>
    <w:rsid w:val="002757F8"/>
    <w:rsid w:val="002808A4"/>
    <w:rsid w:val="0028266E"/>
    <w:rsid w:val="00283FED"/>
    <w:rsid w:val="00286747"/>
    <w:rsid w:val="00286D54"/>
    <w:rsid w:val="00290E5D"/>
    <w:rsid w:val="00292894"/>
    <w:rsid w:val="00293D39"/>
    <w:rsid w:val="00294652"/>
    <w:rsid w:val="00295C9E"/>
    <w:rsid w:val="002A2674"/>
    <w:rsid w:val="002A2C47"/>
    <w:rsid w:val="002A2DCE"/>
    <w:rsid w:val="002A2DF9"/>
    <w:rsid w:val="002A2E32"/>
    <w:rsid w:val="002A39FF"/>
    <w:rsid w:val="002A3B1D"/>
    <w:rsid w:val="002A5C40"/>
    <w:rsid w:val="002A6A91"/>
    <w:rsid w:val="002A73E8"/>
    <w:rsid w:val="002B13E2"/>
    <w:rsid w:val="002B181C"/>
    <w:rsid w:val="002B1FE0"/>
    <w:rsid w:val="002B2692"/>
    <w:rsid w:val="002B2863"/>
    <w:rsid w:val="002C02BE"/>
    <w:rsid w:val="002C0A5A"/>
    <w:rsid w:val="002C177E"/>
    <w:rsid w:val="002C3EC2"/>
    <w:rsid w:val="002C3F06"/>
    <w:rsid w:val="002C5043"/>
    <w:rsid w:val="002C65CC"/>
    <w:rsid w:val="002C697D"/>
    <w:rsid w:val="002C72E0"/>
    <w:rsid w:val="002D029E"/>
    <w:rsid w:val="002D10EB"/>
    <w:rsid w:val="002D134E"/>
    <w:rsid w:val="002D3DCC"/>
    <w:rsid w:val="002D3F33"/>
    <w:rsid w:val="002D673C"/>
    <w:rsid w:val="002D7F91"/>
    <w:rsid w:val="002E3BFB"/>
    <w:rsid w:val="002E45C4"/>
    <w:rsid w:val="002E48D8"/>
    <w:rsid w:val="002E7CC0"/>
    <w:rsid w:val="002F0B43"/>
    <w:rsid w:val="002F0BE9"/>
    <w:rsid w:val="002F26CA"/>
    <w:rsid w:val="002F38C6"/>
    <w:rsid w:val="002F4268"/>
    <w:rsid w:val="002F53F2"/>
    <w:rsid w:val="002F59D8"/>
    <w:rsid w:val="002F7B15"/>
    <w:rsid w:val="003012A8"/>
    <w:rsid w:val="003027D2"/>
    <w:rsid w:val="00304B8F"/>
    <w:rsid w:val="00305293"/>
    <w:rsid w:val="003057A5"/>
    <w:rsid w:val="00305C10"/>
    <w:rsid w:val="00305D5A"/>
    <w:rsid w:val="0030619C"/>
    <w:rsid w:val="003070E1"/>
    <w:rsid w:val="003103D2"/>
    <w:rsid w:val="003113CE"/>
    <w:rsid w:val="00311710"/>
    <w:rsid w:val="0031366B"/>
    <w:rsid w:val="003136DF"/>
    <w:rsid w:val="00313AE0"/>
    <w:rsid w:val="00314C85"/>
    <w:rsid w:val="003161FF"/>
    <w:rsid w:val="00316D8D"/>
    <w:rsid w:val="00321957"/>
    <w:rsid w:val="00321AAF"/>
    <w:rsid w:val="003221E6"/>
    <w:rsid w:val="003223D6"/>
    <w:rsid w:val="003235BD"/>
    <w:rsid w:val="003263BE"/>
    <w:rsid w:val="00327EB7"/>
    <w:rsid w:val="00331029"/>
    <w:rsid w:val="00332030"/>
    <w:rsid w:val="00341959"/>
    <w:rsid w:val="003436C1"/>
    <w:rsid w:val="003438C3"/>
    <w:rsid w:val="00343AC1"/>
    <w:rsid w:val="00343DAC"/>
    <w:rsid w:val="003445B1"/>
    <w:rsid w:val="0034525E"/>
    <w:rsid w:val="00345796"/>
    <w:rsid w:val="00347E46"/>
    <w:rsid w:val="003525C5"/>
    <w:rsid w:val="00353482"/>
    <w:rsid w:val="003535BB"/>
    <w:rsid w:val="003539C1"/>
    <w:rsid w:val="00353F91"/>
    <w:rsid w:val="003543A8"/>
    <w:rsid w:val="00354923"/>
    <w:rsid w:val="00354CF4"/>
    <w:rsid w:val="00354E9E"/>
    <w:rsid w:val="0035761F"/>
    <w:rsid w:val="00357A59"/>
    <w:rsid w:val="00357C8C"/>
    <w:rsid w:val="0036063A"/>
    <w:rsid w:val="00362083"/>
    <w:rsid w:val="00362875"/>
    <w:rsid w:val="00362918"/>
    <w:rsid w:val="00362A44"/>
    <w:rsid w:val="00363251"/>
    <w:rsid w:val="003647F6"/>
    <w:rsid w:val="00365C64"/>
    <w:rsid w:val="00367130"/>
    <w:rsid w:val="00367DB8"/>
    <w:rsid w:val="003719AD"/>
    <w:rsid w:val="00372AC5"/>
    <w:rsid w:val="0037402F"/>
    <w:rsid w:val="003756E5"/>
    <w:rsid w:val="00376949"/>
    <w:rsid w:val="00382810"/>
    <w:rsid w:val="00383544"/>
    <w:rsid w:val="003845B9"/>
    <w:rsid w:val="003862E6"/>
    <w:rsid w:val="003878D3"/>
    <w:rsid w:val="00392128"/>
    <w:rsid w:val="00396E8D"/>
    <w:rsid w:val="00397C81"/>
    <w:rsid w:val="003A07D8"/>
    <w:rsid w:val="003A493B"/>
    <w:rsid w:val="003A6E12"/>
    <w:rsid w:val="003A7BC3"/>
    <w:rsid w:val="003A7DC0"/>
    <w:rsid w:val="003B16EE"/>
    <w:rsid w:val="003B23AA"/>
    <w:rsid w:val="003B4415"/>
    <w:rsid w:val="003B5806"/>
    <w:rsid w:val="003B5A29"/>
    <w:rsid w:val="003B7F1E"/>
    <w:rsid w:val="003C0D85"/>
    <w:rsid w:val="003C1539"/>
    <w:rsid w:val="003C4628"/>
    <w:rsid w:val="003C69B5"/>
    <w:rsid w:val="003C7828"/>
    <w:rsid w:val="003D1815"/>
    <w:rsid w:val="003D1BE4"/>
    <w:rsid w:val="003D1D56"/>
    <w:rsid w:val="003D24E8"/>
    <w:rsid w:val="003D36C6"/>
    <w:rsid w:val="003D39EC"/>
    <w:rsid w:val="003D4256"/>
    <w:rsid w:val="003D4520"/>
    <w:rsid w:val="003D4CC5"/>
    <w:rsid w:val="003D4DE4"/>
    <w:rsid w:val="003D5C11"/>
    <w:rsid w:val="003D6981"/>
    <w:rsid w:val="003D7574"/>
    <w:rsid w:val="003E0382"/>
    <w:rsid w:val="003E2D0E"/>
    <w:rsid w:val="003E2DDE"/>
    <w:rsid w:val="003E4D35"/>
    <w:rsid w:val="003E5741"/>
    <w:rsid w:val="003E57EA"/>
    <w:rsid w:val="003E7C65"/>
    <w:rsid w:val="003F0BE3"/>
    <w:rsid w:val="003F1B42"/>
    <w:rsid w:val="003F1D02"/>
    <w:rsid w:val="003F2238"/>
    <w:rsid w:val="003F6189"/>
    <w:rsid w:val="003F6974"/>
    <w:rsid w:val="003F69CA"/>
    <w:rsid w:val="00400132"/>
    <w:rsid w:val="00400D21"/>
    <w:rsid w:val="00401266"/>
    <w:rsid w:val="00402CBB"/>
    <w:rsid w:val="00402E0A"/>
    <w:rsid w:val="00404911"/>
    <w:rsid w:val="004062ED"/>
    <w:rsid w:val="004106AC"/>
    <w:rsid w:val="00412174"/>
    <w:rsid w:val="00412923"/>
    <w:rsid w:val="00413EB8"/>
    <w:rsid w:val="0041496D"/>
    <w:rsid w:val="004219DC"/>
    <w:rsid w:val="00423789"/>
    <w:rsid w:val="00423EBD"/>
    <w:rsid w:val="00424CC0"/>
    <w:rsid w:val="00427016"/>
    <w:rsid w:val="00427E95"/>
    <w:rsid w:val="00427F95"/>
    <w:rsid w:val="00430905"/>
    <w:rsid w:val="00432A9E"/>
    <w:rsid w:val="00437F83"/>
    <w:rsid w:val="00440031"/>
    <w:rsid w:val="004409AE"/>
    <w:rsid w:val="00441B9D"/>
    <w:rsid w:val="0044423B"/>
    <w:rsid w:val="00445ABF"/>
    <w:rsid w:val="004466F6"/>
    <w:rsid w:val="00447AC8"/>
    <w:rsid w:val="00453E76"/>
    <w:rsid w:val="0045777E"/>
    <w:rsid w:val="004601D7"/>
    <w:rsid w:val="00465046"/>
    <w:rsid w:val="0046574B"/>
    <w:rsid w:val="00466849"/>
    <w:rsid w:val="00466FEC"/>
    <w:rsid w:val="00467664"/>
    <w:rsid w:val="00467D89"/>
    <w:rsid w:val="00470832"/>
    <w:rsid w:val="00470D2C"/>
    <w:rsid w:val="00470F3F"/>
    <w:rsid w:val="004714E6"/>
    <w:rsid w:val="00472036"/>
    <w:rsid w:val="004726A1"/>
    <w:rsid w:val="004733D0"/>
    <w:rsid w:val="00473FAD"/>
    <w:rsid w:val="004749AA"/>
    <w:rsid w:val="00474E3B"/>
    <w:rsid w:val="00475AE5"/>
    <w:rsid w:val="004769B5"/>
    <w:rsid w:val="00476E6F"/>
    <w:rsid w:val="00480164"/>
    <w:rsid w:val="00482C9D"/>
    <w:rsid w:val="004837BA"/>
    <w:rsid w:val="004846F3"/>
    <w:rsid w:val="00485301"/>
    <w:rsid w:val="00485C3B"/>
    <w:rsid w:val="00490016"/>
    <w:rsid w:val="00490128"/>
    <w:rsid w:val="004904A7"/>
    <w:rsid w:val="00490DD5"/>
    <w:rsid w:val="00490E30"/>
    <w:rsid w:val="0049115A"/>
    <w:rsid w:val="00491DBA"/>
    <w:rsid w:val="004927DB"/>
    <w:rsid w:val="00493766"/>
    <w:rsid w:val="0049385B"/>
    <w:rsid w:val="0049671C"/>
    <w:rsid w:val="0049792B"/>
    <w:rsid w:val="004A0888"/>
    <w:rsid w:val="004A1477"/>
    <w:rsid w:val="004A201F"/>
    <w:rsid w:val="004A393B"/>
    <w:rsid w:val="004A3F3D"/>
    <w:rsid w:val="004A4F87"/>
    <w:rsid w:val="004A7EEB"/>
    <w:rsid w:val="004B05A4"/>
    <w:rsid w:val="004B1BC7"/>
    <w:rsid w:val="004B3507"/>
    <w:rsid w:val="004B42D1"/>
    <w:rsid w:val="004B497F"/>
    <w:rsid w:val="004B54CD"/>
    <w:rsid w:val="004B5DB7"/>
    <w:rsid w:val="004B708E"/>
    <w:rsid w:val="004B714D"/>
    <w:rsid w:val="004B7271"/>
    <w:rsid w:val="004C0563"/>
    <w:rsid w:val="004C4F33"/>
    <w:rsid w:val="004C5E99"/>
    <w:rsid w:val="004C7013"/>
    <w:rsid w:val="004C798B"/>
    <w:rsid w:val="004D2C72"/>
    <w:rsid w:val="004D3358"/>
    <w:rsid w:val="004D378C"/>
    <w:rsid w:val="004D4BEC"/>
    <w:rsid w:val="004D50CE"/>
    <w:rsid w:val="004D5F9A"/>
    <w:rsid w:val="004D749D"/>
    <w:rsid w:val="004D7B4C"/>
    <w:rsid w:val="004E0661"/>
    <w:rsid w:val="004E0B65"/>
    <w:rsid w:val="004E179F"/>
    <w:rsid w:val="004E2C48"/>
    <w:rsid w:val="004E3E7B"/>
    <w:rsid w:val="004E51A2"/>
    <w:rsid w:val="004E5215"/>
    <w:rsid w:val="004F06C0"/>
    <w:rsid w:val="004F1A25"/>
    <w:rsid w:val="004F3BF6"/>
    <w:rsid w:val="004F4D2F"/>
    <w:rsid w:val="004F57AC"/>
    <w:rsid w:val="004F7EAE"/>
    <w:rsid w:val="00500C27"/>
    <w:rsid w:val="00502079"/>
    <w:rsid w:val="00504FF0"/>
    <w:rsid w:val="00506BDE"/>
    <w:rsid w:val="00511A43"/>
    <w:rsid w:val="00512729"/>
    <w:rsid w:val="0051311B"/>
    <w:rsid w:val="00516CDE"/>
    <w:rsid w:val="00517780"/>
    <w:rsid w:val="005208F8"/>
    <w:rsid w:val="00521EEA"/>
    <w:rsid w:val="0052406D"/>
    <w:rsid w:val="0052494D"/>
    <w:rsid w:val="0052505C"/>
    <w:rsid w:val="00525152"/>
    <w:rsid w:val="0052549B"/>
    <w:rsid w:val="00525DC6"/>
    <w:rsid w:val="00527074"/>
    <w:rsid w:val="00527F9B"/>
    <w:rsid w:val="00530A53"/>
    <w:rsid w:val="005310B8"/>
    <w:rsid w:val="00531EA7"/>
    <w:rsid w:val="00531F19"/>
    <w:rsid w:val="00534A2D"/>
    <w:rsid w:val="00535201"/>
    <w:rsid w:val="005357D9"/>
    <w:rsid w:val="00535FF6"/>
    <w:rsid w:val="00536815"/>
    <w:rsid w:val="00540033"/>
    <w:rsid w:val="00542081"/>
    <w:rsid w:val="00543D29"/>
    <w:rsid w:val="00544CEF"/>
    <w:rsid w:val="00544F36"/>
    <w:rsid w:val="005508F3"/>
    <w:rsid w:val="00550DCA"/>
    <w:rsid w:val="005511CC"/>
    <w:rsid w:val="005528AA"/>
    <w:rsid w:val="005550BF"/>
    <w:rsid w:val="0055515F"/>
    <w:rsid w:val="00563212"/>
    <w:rsid w:val="00563E64"/>
    <w:rsid w:val="00564FC9"/>
    <w:rsid w:val="005658F2"/>
    <w:rsid w:val="00566521"/>
    <w:rsid w:val="005679C5"/>
    <w:rsid w:val="00570577"/>
    <w:rsid w:val="00570B4D"/>
    <w:rsid w:val="00572C45"/>
    <w:rsid w:val="00575254"/>
    <w:rsid w:val="00581786"/>
    <w:rsid w:val="00581E36"/>
    <w:rsid w:val="00582271"/>
    <w:rsid w:val="00582B10"/>
    <w:rsid w:val="005845F4"/>
    <w:rsid w:val="005848AC"/>
    <w:rsid w:val="005848EB"/>
    <w:rsid w:val="00585098"/>
    <w:rsid w:val="005852B2"/>
    <w:rsid w:val="00585B3F"/>
    <w:rsid w:val="00586891"/>
    <w:rsid w:val="00586EC4"/>
    <w:rsid w:val="00587462"/>
    <w:rsid w:val="00587B89"/>
    <w:rsid w:val="00590013"/>
    <w:rsid w:val="005904BD"/>
    <w:rsid w:val="00590FAC"/>
    <w:rsid w:val="0059471D"/>
    <w:rsid w:val="00594A5D"/>
    <w:rsid w:val="00594A9B"/>
    <w:rsid w:val="005960DE"/>
    <w:rsid w:val="00596798"/>
    <w:rsid w:val="005A0D7E"/>
    <w:rsid w:val="005A1B9D"/>
    <w:rsid w:val="005A3167"/>
    <w:rsid w:val="005A360C"/>
    <w:rsid w:val="005A39DB"/>
    <w:rsid w:val="005A670A"/>
    <w:rsid w:val="005A6D58"/>
    <w:rsid w:val="005A71B0"/>
    <w:rsid w:val="005B0AC7"/>
    <w:rsid w:val="005B0ADF"/>
    <w:rsid w:val="005B1797"/>
    <w:rsid w:val="005B1B42"/>
    <w:rsid w:val="005B2A91"/>
    <w:rsid w:val="005B327B"/>
    <w:rsid w:val="005B4773"/>
    <w:rsid w:val="005B4BE6"/>
    <w:rsid w:val="005B5981"/>
    <w:rsid w:val="005B5A6E"/>
    <w:rsid w:val="005C11FC"/>
    <w:rsid w:val="005C1945"/>
    <w:rsid w:val="005C232F"/>
    <w:rsid w:val="005C3D1B"/>
    <w:rsid w:val="005C472C"/>
    <w:rsid w:val="005C5643"/>
    <w:rsid w:val="005C568E"/>
    <w:rsid w:val="005C73F6"/>
    <w:rsid w:val="005D0128"/>
    <w:rsid w:val="005D1109"/>
    <w:rsid w:val="005D1342"/>
    <w:rsid w:val="005D3F02"/>
    <w:rsid w:val="005E026C"/>
    <w:rsid w:val="005E1729"/>
    <w:rsid w:val="005E28DE"/>
    <w:rsid w:val="005E2D54"/>
    <w:rsid w:val="005E30AA"/>
    <w:rsid w:val="005E6C72"/>
    <w:rsid w:val="005E6F43"/>
    <w:rsid w:val="005F0081"/>
    <w:rsid w:val="005F0134"/>
    <w:rsid w:val="005F0283"/>
    <w:rsid w:val="005F0556"/>
    <w:rsid w:val="005F0ADD"/>
    <w:rsid w:val="005F179F"/>
    <w:rsid w:val="005F4FF7"/>
    <w:rsid w:val="005F5F18"/>
    <w:rsid w:val="00602829"/>
    <w:rsid w:val="00602EE8"/>
    <w:rsid w:val="006069FD"/>
    <w:rsid w:val="006110EC"/>
    <w:rsid w:val="00611CF7"/>
    <w:rsid w:val="00612E30"/>
    <w:rsid w:val="00612E42"/>
    <w:rsid w:val="006134DF"/>
    <w:rsid w:val="00615096"/>
    <w:rsid w:val="006168B8"/>
    <w:rsid w:val="00616C4A"/>
    <w:rsid w:val="006173AA"/>
    <w:rsid w:val="00617B45"/>
    <w:rsid w:val="0062270B"/>
    <w:rsid w:val="00622E69"/>
    <w:rsid w:val="006246B2"/>
    <w:rsid w:val="006247B1"/>
    <w:rsid w:val="00625B0E"/>
    <w:rsid w:val="0062681A"/>
    <w:rsid w:val="0063149E"/>
    <w:rsid w:val="00633080"/>
    <w:rsid w:val="00633432"/>
    <w:rsid w:val="00634011"/>
    <w:rsid w:val="00634C27"/>
    <w:rsid w:val="0063529C"/>
    <w:rsid w:val="006359E5"/>
    <w:rsid w:val="0064021A"/>
    <w:rsid w:val="00641B71"/>
    <w:rsid w:val="00641D16"/>
    <w:rsid w:val="006427E0"/>
    <w:rsid w:val="00642FCB"/>
    <w:rsid w:val="00643086"/>
    <w:rsid w:val="006432BF"/>
    <w:rsid w:val="00643CD4"/>
    <w:rsid w:val="00643F3F"/>
    <w:rsid w:val="00644E8C"/>
    <w:rsid w:val="006469B4"/>
    <w:rsid w:val="006479B6"/>
    <w:rsid w:val="00650D34"/>
    <w:rsid w:val="00650FAB"/>
    <w:rsid w:val="00651FA6"/>
    <w:rsid w:val="00652220"/>
    <w:rsid w:val="0065428C"/>
    <w:rsid w:val="006563FF"/>
    <w:rsid w:val="0065659D"/>
    <w:rsid w:val="00656CF0"/>
    <w:rsid w:val="00657789"/>
    <w:rsid w:val="00657A24"/>
    <w:rsid w:val="00657B57"/>
    <w:rsid w:val="00660164"/>
    <w:rsid w:val="00660DB7"/>
    <w:rsid w:val="006615FD"/>
    <w:rsid w:val="00664EA4"/>
    <w:rsid w:val="0066627E"/>
    <w:rsid w:val="0067057D"/>
    <w:rsid w:val="00671C46"/>
    <w:rsid w:val="00671CCC"/>
    <w:rsid w:val="00673495"/>
    <w:rsid w:val="00674659"/>
    <w:rsid w:val="00674799"/>
    <w:rsid w:val="00675C12"/>
    <w:rsid w:val="006764B3"/>
    <w:rsid w:val="00676F58"/>
    <w:rsid w:val="00677D0A"/>
    <w:rsid w:val="006839AA"/>
    <w:rsid w:val="00684941"/>
    <w:rsid w:val="00685A43"/>
    <w:rsid w:val="00686055"/>
    <w:rsid w:val="00686315"/>
    <w:rsid w:val="00686740"/>
    <w:rsid w:val="0068734F"/>
    <w:rsid w:val="0068780F"/>
    <w:rsid w:val="0068795F"/>
    <w:rsid w:val="006906CA"/>
    <w:rsid w:val="006925E4"/>
    <w:rsid w:val="006934BB"/>
    <w:rsid w:val="006934C1"/>
    <w:rsid w:val="00694937"/>
    <w:rsid w:val="006A0BE9"/>
    <w:rsid w:val="006A1EA7"/>
    <w:rsid w:val="006A2192"/>
    <w:rsid w:val="006A5CE8"/>
    <w:rsid w:val="006A5F81"/>
    <w:rsid w:val="006B3F05"/>
    <w:rsid w:val="006B4C99"/>
    <w:rsid w:val="006B533A"/>
    <w:rsid w:val="006B557A"/>
    <w:rsid w:val="006B5AD3"/>
    <w:rsid w:val="006B7ACA"/>
    <w:rsid w:val="006C118E"/>
    <w:rsid w:val="006C4BF5"/>
    <w:rsid w:val="006C6FD1"/>
    <w:rsid w:val="006C7E99"/>
    <w:rsid w:val="006D2DA8"/>
    <w:rsid w:val="006D38BF"/>
    <w:rsid w:val="006D444F"/>
    <w:rsid w:val="006D49AE"/>
    <w:rsid w:val="006D519B"/>
    <w:rsid w:val="006D6499"/>
    <w:rsid w:val="006D6982"/>
    <w:rsid w:val="006E0B77"/>
    <w:rsid w:val="006E0F5F"/>
    <w:rsid w:val="006E15D5"/>
    <w:rsid w:val="006E1754"/>
    <w:rsid w:val="006E62C7"/>
    <w:rsid w:val="006E657F"/>
    <w:rsid w:val="006E74E4"/>
    <w:rsid w:val="006F16EB"/>
    <w:rsid w:val="006F1775"/>
    <w:rsid w:val="006F2CA8"/>
    <w:rsid w:val="006F2D48"/>
    <w:rsid w:val="006F57CE"/>
    <w:rsid w:val="006F6C1C"/>
    <w:rsid w:val="006F7389"/>
    <w:rsid w:val="00700928"/>
    <w:rsid w:val="007009EF"/>
    <w:rsid w:val="00701112"/>
    <w:rsid w:val="007039EB"/>
    <w:rsid w:val="00703D5A"/>
    <w:rsid w:val="00704789"/>
    <w:rsid w:val="00704A67"/>
    <w:rsid w:val="00706701"/>
    <w:rsid w:val="00706910"/>
    <w:rsid w:val="0070797C"/>
    <w:rsid w:val="00707A31"/>
    <w:rsid w:val="007100C7"/>
    <w:rsid w:val="00710D4C"/>
    <w:rsid w:val="00711A2F"/>
    <w:rsid w:val="00711CD4"/>
    <w:rsid w:val="00711EE9"/>
    <w:rsid w:val="00714FC9"/>
    <w:rsid w:val="00715E55"/>
    <w:rsid w:val="00716783"/>
    <w:rsid w:val="00717349"/>
    <w:rsid w:val="007208E3"/>
    <w:rsid w:val="00720D4A"/>
    <w:rsid w:val="00721058"/>
    <w:rsid w:val="00726944"/>
    <w:rsid w:val="007274F5"/>
    <w:rsid w:val="0072765D"/>
    <w:rsid w:val="00727835"/>
    <w:rsid w:val="007307BF"/>
    <w:rsid w:val="00730F74"/>
    <w:rsid w:val="007319B9"/>
    <w:rsid w:val="00732BE8"/>
    <w:rsid w:val="00733BDB"/>
    <w:rsid w:val="007341F3"/>
    <w:rsid w:val="00734365"/>
    <w:rsid w:val="007370E0"/>
    <w:rsid w:val="00740C1F"/>
    <w:rsid w:val="0074121B"/>
    <w:rsid w:val="00742054"/>
    <w:rsid w:val="00742801"/>
    <w:rsid w:val="00744F60"/>
    <w:rsid w:val="00745438"/>
    <w:rsid w:val="00746279"/>
    <w:rsid w:val="00750D2A"/>
    <w:rsid w:val="007511A3"/>
    <w:rsid w:val="00753436"/>
    <w:rsid w:val="007534B5"/>
    <w:rsid w:val="00753E81"/>
    <w:rsid w:val="00756DE3"/>
    <w:rsid w:val="00757326"/>
    <w:rsid w:val="007601DA"/>
    <w:rsid w:val="00760B92"/>
    <w:rsid w:val="00763D90"/>
    <w:rsid w:val="00764BF9"/>
    <w:rsid w:val="0076656E"/>
    <w:rsid w:val="00770BD9"/>
    <w:rsid w:val="00771904"/>
    <w:rsid w:val="0077191F"/>
    <w:rsid w:val="00771FB6"/>
    <w:rsid w:val="007721EE"/>
    <w:rsid w:val="00772A1F"/>
    <w:rsid w:val="0077436F"/>
    <w:rsid w:val="00775BC4"/>
    <w:rsid w:val="00776186"/>
    <w:rsid w:val="00776351"/>
    <w:rsid w:val="00776DFD"/>
    <w:rsid w:val="00777A85"/>
    <w:rsid w:val="0078291F"/>
    <w:rsid w:val="00783142"/>
    <w:rsid w:val="00783503"/>
    <w:rsid w:val="00784A08"/>
    <w:rsid w:val="007852CF"/>
    <w:rsid w:val="00785C60"/>
    <w:rsid w:val="00785CEC"/>
    <w:rsid w:val="00787289"/>
    <w:rsid w:val="00787FDE"/>
    <w:rsid w:val="00790914"/>
    <w:rsid w:val="007940C0"/>
    <w:rsid w:val="00797264"/>
    <w:rsid w:val="00797341"/>
    <w:rsid w:val="007A24C4"/>
    <w:rsid w:val="007A28CE"/>
    <w:rsid w:val="007A3971"/>
    <w:rsid w:val="007A44FD"/>
    <w:rsid w:val="007A606C"/>
    <w:rsid w:val="007A7CCB"/>
    <w:rsid w:val="007B0419"/>
    <w:rsid w:val="007B066A"/>
    <w:rsid w:val="007B1565"/>
    <w:rsid w:val="007B1A6B"/>
    <w:rsid w:val="007B1EE2"/>
    <w:rsid w:val="007B2CA3"/>
    <w:rsid w:val="007B4246"/>
    <w:rsid w:val="007B6309"/>
    <w:rsid w:val="007C01E0"/>
    <w:rsid w:val="007C0904"/>
    <w:rsid w:val="007C24E6"/>
    <w:rsid w:val="007C3941"/>
    <w:rsid w:val="007C4C3F"/>
    <w:rsid w:val="007C4E5B"/>
    <w:rsid w:val="007C7060"/>
    <w:rsid w:val="007D1E84"/>
    <w:rsid w:val="007D2112"/>
    <w:rsid w:val="007D342D"/>
    <w:rsid w:val="007D4B10"/>
    <w:rsid w:val="007D5780"/>
    <w:rsid w:val="007D69BD"/>
    <w:rsid w:val="007D6DD2"/>
    <w:rsid w:val="007E0F5A"/>
    <w:rsid w:val="007E3BFF"/>
    <w:rsid w:val="007E3CF1"/>
    <w:rsid w:val="007E512D"/>
    <w:rsid w:val="007E5327"/>
    <w:rsid w:val="007E540A"/>
    <w:rsid w:val="007E6E22"/>
    <w:rsid w:val="007E7ABF"/>
    <w:rsid w:val="007F1840"/>
    <w:rsid w:val="007F2AAF"/>
    <w:rsid w:val="007F6B43"/>
    <w:rsid w:val="007F711B"/>
    <w:rsid w:val="007F75E2"/>
    <w:rsid w:val="007F7B72"/>
    <w:rsid w:val="008002D6"/>
    <w:rsid w:val="008011E6"/>
    <w:rsid w:val="008013E5"/>
    <w:rsid w:val="00802079"/>
    <w:rsid w:val="0081236C"/>
    <w:rsid w:val="008125F3"/>
    <w:rsid w:val="00812D16"/>
    <w:rsid w:val="0081349C"/>
    <w:rsid w:val="00813536"/>
    <w:rsid w:val="00821D9C"/>
    <w:rsid w:val="00823157"/>
    <w:rsid w:val="0082351E"/>
    <w:rsid w:val="00823991"/>
    <w:rsid w:val="00823E44"/>
    <w:rsid w:val="00824077"/>
    <w:rsid w:val="00826273"/>
    <w:rsid w:val="00826ACC"/>
    <w:rsid w:val="0082770C"/>
    <w:rsid w:val="0082775E"/>
    <w:rsid w:val="00827A48"/>
    <w:rsid w:val="0083433E"/>
    <w:rsid w:val="00834E22"/>
    <w:rsid w:val="00835E58"/>
    <w:rsid w:val="00836BE6"/>
    <w:rsid w:val="00843256"/>
    <w:rsid w:val="008441DB"/>
    <w:rsid w:val="008443A2"/>
    <w:rsid w:val="00844F6D"/>
    <w:rsid w:val="008464DF"/>
    <w:rsid w:val="00846678"/>
    <w:rsid w:val="00847165"/>
    <w:rsid w:val="00850048"/>
    <w:rsid w:val="00851165"/>
    <w:rsid w:val="00851260"/>
    <w:rsid w:val="00854D71"/>
    <w:rsid w:val="00856972"/>
    <w:rsid w:val="0085748C"/>
    <w:rsid w:val="00857802"/>
    <w:rsid w:val="00857B17"/>
    <w:rsid w:val="00862C1C"/>
    <w:rsid w:val="0086436A"/>
    <w:rsid w:val="008648C3"/>
    <w:rsid w:val="00864E11"/>
    <w:rsid w:val="00866B41"/>
    <w:rsid w:val="00867BB4"/>
    <w:rsid w:val="008715D2"/>
    <w:rsid w:val="0087228F"/>
    <w:rsid w:val="00872316"/>
    <w:rsid w:val="00872335"/>
    <w:rsid w:val="008751B7"/>
    <w:rsid w:val="00876BEC"/>
    <w:rsid w:val="00876EC0"/>
    <w:rsid w:val="008779EC"/>
    <w:rsid w:val="00880376"/>
    <w:rsid w:val="0088175D"/>
    <w:rsid w:val="008825C6"/>
    <w:rsid w:val="00882646"/>
    <w:rsid w:val="00882D8C"/>
    <w:rsid w:val="00884C95"/>
    <w:rsid w:val="008865C7"/>
    <w:rsid w:val="00886D46"/>
    <w:rsid w:val="0088747F"/>
    <w:rsid w:val="008876ED"/>
    <w:rsid w:val="008914D5"/>
    <w:rsid w:val="00892026"/>
    <w:rsid w:val="0089366C"/>
    <w:rsid w:val="008939C4"/>
    <w:rsid w:val="00894418"/>
    <w:rsid w:val="0089507B"/>
    <w:rsid w:val="00896ABE"/>
    <w:rsid w:val="008975D3"/>
    <w:rsid w:val="00897AD7"/>
    <w:rsid w:val="00897B50"/>
    <w:rsid w:val="008A0338"/>
    <w:rsid w:val="008A0477"/>
    <w:rsid w:val="008A0794"/>
    <w:rsid w:val="008A1991"/>
    <w:rsid w:val="008A2486"/>
    <w:rsid w:val="008A7254"/>
    <w:rsid w:val="008B20FB"/>
    <w:rsid w:val="008B2646"/>
    <w:rsid w:val="008B5FCC"/>
    <w:rsid w:val="008C006E"/>
    <w:rsid w:val="008C023C"/>
    <w:rsid w:val="008C028C"/>
    <w:rsid w:val="008C09EB"/>
    <w:rsid w:val="008C12E1"/>
    <w:rsid w:val="008C49D4"/>
    <w:rsid w:val="008C4B98"/>
    <w:rsid w:val="008C5BC9"/>
    <w:rsid w:val="008D222E"/>
    <w:rsid w:val="008D2BF8"/>
    <w:rsid w:val="008D4E7C"/>
    <w:rsid w:val="008D638F"/>
    <w:rsid w:val="008D6419"/>
    <w:rsid w:val="008D6C34"/>
    <w:rsid w:val="008D7313"/>
    <w:rsid w:val="008E134D"/>
    <w:rsid w:val="008E1688"/>
    <w:rsid w:val="008E2DDC"/>
    <w:rsid w:val="008E3695"/>
    <w:rsid w:val="008E480F"/>
    <w:rsid w:val="008E5C3F"/>
    <w:rsid w:val="008F05F0"/>
    <w:rsid w:val="008F14A8"/>
    <w:rsid w:val="008F1D7B"/>
    <w:rsid w:val="008F28A9"/>
    <w:rsid w:val="008F2C54"/>
    <w:rsid w:val="008F3F44"/>
    <w:rsid w:val="008F613E"/>
    <w:rsid w:val="008F65D5"/>
    <w:rsid w:val="009001B8"/>
    <w:rsid w:val="009013A0"/>
    <w:rsid w:val="00902175"/>
    <w:rsid w:val="00902F09"/>
    <w:rsid w:val="00903296"/>
    <w:rsid w:val="00904DCB"/>
    <w:rsid w:val="009061F6"/>
    <w:rsid w:val="00906293"/>
    <w:rsid w:val="0090656B"/>
    <w:rsid w:val="00907782"/>
    <w:rsid w:val="00907DEC"/>
    <w:rsid w:val="009117CD"/>
    <w:rsid w:val="009123AF"/>
    <w:rsid w:val="00912F37"/>
    <w:rsid w:val="00913C8F"/>
    <w:rsid w:val="00915076"/>
    <w:rsid w:val="00916C9A"/>
    <w:rsid w:val="00917181"/>
    <w:rsid w:val="009175AC"/>
    <w:rsid w:val="0092080A"/>
    <w:rsid w:val="009223DA"/>
    <w:rsid w:val="00923B19"/>
    <w:rsid w:val="00926F30"/>
    <w:rsid w:val="00931694"/>
    <w:rsid w:val="009324B8"/>
    <w:rsid w:val="0093558E"/>
    <w:rsid w:val="009357AE"/>
    <w:rsid w:val="00935AC3"/>
    <w:rsid w:val="009362FB"/>
    <w:rsid w:val="0094142C"/>
    <w:rsid w:val="009419E2"/>
    <w:rsid w:val="0094383A"/>
    <w:rsid w:val="009459CD"/>
    <w:rsid w:val="00947304"/>
    <w:rsid w:val="00950A83"/>
    <w:rsid w:val="00950EC6"/>
    <w:rsid w:val="009513D7"/>
    <w:rsid w:val="00951B30"/>
    <w:rsid w:val="009521C5"/>
    <w:rsid w:val="009526D1"/>
    <w:rsid w:val="0095359B"/>
    <w:rsid w:val="00953D59"/>
    <w:rsid w:val="00954D75"/>
    <w:rsid w:val="00957032"/>
    <w:rsid w:val="00961B90"/>
    <w:rsid w:val="00961FBB"/>
    <w:rsid w:val="0096210A"/>
    <w:rsid w:val="009622FD"/>
    <w:rsid w:val="009631EA"/>
    <w:rsid w:val="009639BE"/>
    <w:rsid w:val="009639CF"/>
    <w:rsid w:val="00963A8B"/>
    <w:rsid w:val="00965ED8"/>
    <w:rsid w:val="0096780E"/>
    <w:rsid w:val="0096792B"/>
    <w:rsid w:val="00971A1A"/>
    <w:rsid w:val="00972731"/>
    <w:rsid w:val="00972AA1"/>
    <w:rsid w:val="009733BE"/>
    <w:rsid w:val="00973AC5"/>
    <w:rsid w:val="00974BD4"/>
    <w:rsid w:val="00976EA6"/>
    <w:rsid w:val="009779B9"/>
    <w:rsid w:val="00977BE4"/>
    <w:rsid w:val="009804E4"/>
    <w:rsid w:val="009815B9"/>
    <w:rsid w:val="009817AC"/>
    <w:rsid w:val="009825DF"/>
    <w:rsid w:val="00982BD5"/>
    <w:rsid w:val="00985336"/>
    <w:rsid w:val="00985682"/>
    <w:rsid w:val="00994BEF"/>
    <w:rsid w:val="00995DB6"/>
    <w:rsid w:val="009963C9"/>
    <w:rsid w:val="009972E7"/>
    <w:rsid w:val="009A0BB3"/>
    <w:rsid w:val="009A1186"/>
    <w:rsid w:val="009A24E5"/>
    <w:rsid w:val="009A3780"/>
    <w:rsid w:val="009A37A5"/>
    <w:rsid w:val="009A5BCE"/>
    <w:rsid w:val="009A7981"/>
    <w:rsid w:val="009A7E7F"/>
    <w:rsid w:val="009B01AF"/>
    <w:rsid w:val="009B038B"/>
    <w:rsid w:val="009B166D"/>
    <w:rsid w:val="009B2ACE"/>
    <w:rsid w:val="009B3362"/>
    <w:rsid w:val="009B360E"/>
    <w:rsid w:val="009B377C"/>
    <w:rsid w:val="009B41AF"/>
    <w:rsid w:val="009B486F"/>
    <w:rsid w:val="009B6A6D"/>
    <w:rsid w:val="009B7317"/>
    <w:rsid w:val="009B7C86"/>
    <w:rsid w:val="009B7DA4"/>
    <w:rsid w:val="009C0999"/>
    <w:rsid w:val="009C1411"/>
    <w:rsid w:val="009C1821"/>
    <w:rsid w:val="009C1E7C"/>
    <w:rsid w:val="009C201D"/>
    <w:rsid w:val="009C3C54"/>
    <w:rsid w:val="009C5AEF"/>
    <w:rsid w:val="009C7A9E"/>
    <w:rsid w:val="009C7F2B"/>
    <w:rsid w:val="009D0319"/>
    <w:rsid w:val="009D1BF3"/>
    <w:rsid w:val="009D4832"/>
    <w:rsid w:val="009D499B"/>
    <w:rsid w:val="009D75F8"/>
    <w:rsid w:val="009D78D5"/>
    <w:rsid w:val="009E4264"/>
    <w:rsid w:val="009E49F2"/>
    <w:rsid w:val="009E4E25"/>
    <w:rsid w:val="009E6886"/>
    <w:rsid w:val="009E7812"/>
    <w:rsid w:val="009F0D31"/>
    <w:rsid w:val="009F203E"/>
    <w:rsid w:val="009F2860"/>
    <w:rsid w:val="009F3442"/>
    <w:rsid w:val="009F4040"/>
    <w:rsid w:val="009F52BA"/>
    <w:rsid w:val="009F578E"/>
    <w:rsid w:val="009F7961"/>
    <w:rsid w:val="00A002D2"/>
    <w:rsid w:val="00A01ABD"/>
    <w:rsid w:val="00A02789"/>
    <w:rsid w:val="00A05096"/>
    <w:rsid w:val="00A054B7"/>
    <w:rsid w:val="00A10A3D"/>
    <w:rsid w:val="00A11C9D"/>
    <w:rsid w:val="00A13A27"/>
    <w:rsid w:val="00A14523"/>
    <w:rsid w:val="00A150E1"/>
    <w:rsid w:val="00A1523C"/>
    <w:rsid w:val="00A15B92"/>
    <w:rsid w:val="00A1703A"/>
    <w:rsid w:val="00A2057A"/>
    <w:rsid w:val="00A21FC6"/>
    <w:rsid w:val="00A25C44"/>
    <w:rsid w:val="00A32383"/>
    <w:rsid w:val="00A40B3F"/>
    <w:rsid w:val="00A41CB7"/>
    <w:rsid w:val="00A44A4A"/>
    <w:rsid w:val="00A45942"/>
    <w:rsid w:val="00A47EA7"/>
    <w:rsid w:val="00A51014"/>
    <w:rsid w:val="00A538FE"/>
    <w:rsid w:val="00A55DB9"/>
    <w:rsid w:val="00A601AD"/>
    <w:rsid w:val="00A61CE5"/>
    <w:rsid w:val="00A6240D"/>
    <w:rsid w:val="00A62D7C"/>
    <w:rsid w:val="00A63CEF"/>
    <w:rsid w:val="00A63D06"/>
    <w:rsid w:val="00A655E5"/>
    <w:rsid w:val="00A668F2"/>
    <w:rsid w:val="00A70491"/>
    <w:rsid w:val="00A74F65"/>
    <w:rsid w:val="00A75B27"/>
    <w:rsid w:val="00A76850"/>
    <w:rsid w:val="00A76FF6"/>
    <w:rsid w:val="00A8086E"/>
    <w:rsid w:val="00A818FA"/>
    <w:rsid w:val="00A8228E"/>
    <w:rsid w:val="00A83BE6"/>
    <w:rsid w:val="00A83D0C"/>
    <w:rsid w:val="00A83EE8"/>
    <w:rsid w:val="00A8420A"/>
    <w:rsid w:val="00A85892"/>
    <w:rsid w:val="00A87897"/>
    <w:rsid w:val="00A90720"/>
    <w:rsid w:val="00A90E2B"/>
    <w:rsid w:val="00A9132D"/>
    <w:rsid w:val="00A913D8"/>
    <w:rsid w:val="00A930A0"/>
    <w:rsid w:val="00A93C74"/>
    <w:rsid w:val="00A95729"/>
    <w:rsid w:val="00A96394"/>
    <w:rsid w:val="00A9667F"/>
    <w:rsid w:val="00AA0200"/>
    <w:rsid w:val="00AA1DF1"/>
    <w:rsid w:val="00AA33B5"/>
    <w:rsid w:val="00AA4162"/>
    <w:rsid w:val="00AA53A0"/>
    <w:rsid w:val="00AA66D0"/>
    <w:rsid w:val="00AB28C3"/>
    <w:rsid w:val="00AB380D"/>
    <w:rsid w:val="00AB52DF"/>
    <w:rsid w:val="00AB60D6"/>
    <w:rsid w:val="00AB659F"/>
    <w:rsid w:val="00AB6831"/>
    <w:rsid w:val="00AB7E3E"/>
    <w:rsid w:val="00AB7F40"/>
    <w:rsid w:val="00AB7FD9"/>
    <w:rsid w:val="00AC00EC"/>
    <w:rsid w:val="00AC05DD"/>
    <w:rsid w:val="00AC4ADD"/>
    <w:rsid w:val="00AC4F88"/>
    <w:rsid w:val="00AD02CD"/>
    <w:rsid w:val="00AD26AA"/>
    <w:rsid w:val="00AD2D22"/>
    <w:rsid w:val="00AD4C85"/>
    <w:rsid w:val="00AD7A44"/>
    <w:rsid w:val="00AE04C5"/>
    <w:rsid w:val="00AE0907"/>
    <w:rsid w:val="00AE1F61"/>
    <w:rsid w:val="00AE24DE"/>
    <w:rsid w:val="00AE2AB9"/>
    <w:rsid w:val="00AE3222"/>
    <w:rsid w:val="00AE4424"/>
    <w:rsid w:val="00AE4F88"/>
    <w:rsid w:val="00AE5F3F"/>
    <w:rsid w:val="00AE60C5"/>
    <w:rsid w:val="00AE6657"/>
    <w:rsid w:val="00AE7109"/>
    <w:rsid w:val="00AF296C"/>
    <w:rsid w:val="00AF5348"/>
    <w:rsid w:val="00AF5993"/>
    <w:rsid w:val="00B00A72"/>
    <w:rsid w:val="00B0177D"/>
    <w:rsid w:val="00B0178A"/>
    <w:rsid w:val="00B0214C"/>
    <w:rsid w:val="00B04C20"/>
    <w:rsid w:val="00B07208"/>
    <w:rsid w:val="00B10EA5"/>
    <w:rsid w:val="00B15B62"/>
    <w:rsid w:val="00B21363"/>
    <w:rsid w:val="00B22283"/>
    <w:rsid w:val="00B23719"/>
    <w:rsid w:val="00B23C1D"/>
    <w:rsid w:val="00B258A9"/>
    <w:rsid w:val="00B25ED3"/>
    <w:rsid w:val="00B26D2B"/>
    <w:rsid w:val="00B31899"/>
    <w:rsid w:val="00B3237E"/>
    <w:rsid w:val="00B323B2"/>
    <w:rsid w:val="00B32599"/>
    <w:rsid w:val="00B3369D"/>
    <w:rsid w:val="00B35C14"/>
    <w:rsid w:val="00B3718A"/>
    <w:rsid w:val="00B37D54"/>
    <w:rsid w:val="00B44296"/>
    <w:rsid w:val="00B44A5B"/>
    <w:rsid w:val="00B44BE2"/>
    <w:rsid w:val="00B46292"/>
    <w:rsid w:val="00B46897"/>
    <w:rsid w:val="00B469CC"/>
    <w:rsid w:val="00B50046"/>
    <w:rsid w:val="00B515FC"/>
    <w:rsid w:val="00B51B43"/>
    <w:rsid w:val="00B53A08"/>
    <w:rsid w:val="00B563D4"/>
    <w:rsid w:val="00B5655E"/>
    <w:rsid w:val="00B5791A"/>
    <w:rsid w:val="00B61349"/>
    <w:rsid w:val="00B61FA0"/>
    <w:rsid w:val="00B62DE4"/>
    <w:rsid w:val="00B63842"/>
    <w:rsid w:val="00B63985"/>
    <w:rsid w:val="00B64080"/>
    <w:rsid w:val="00B66FB2"/>
    <w:rsid w:val="00B70DE7"/>
    <w:rsid w:val="00B7253A"/>
    <w:rsid w:val="00B72644"/>
    <w:rsid w:val="00B73A79"/>
    <w:rsid w:val="00B73EDF"/>
    <w:rsid w:val="00B74500"/>
    <w:rsid w:val="00B74DC9"/>
    <w:rsid w:val="00B75A8C"/>
    <w:rsid w:val="00B771E7"/>
    <w:rsid w:val="00B81D25"/>
    <w:rsid w:val="00B82797"/>
    <w:rsid w:val="00B8365C"/>
    <w:rsid w:val="00B83DE4"/>
    <w:rsid w:val="00B85CCD"/>
    <w:rsid w:val="00B87D81"/>
    <w:rsid w:val="00B907D2"/>
    <w:rsid w:val="00B90E78"/>
    <w:rsid w:val="00B913E7"/>
    <w:rsid w:val="00B91964"/>
    <w:rsid w:val="00B926FC"/>
    <w:rsid w:val="00B937FA"/>
    <w:rsid w:val="00B95D04"/>
    <w:rsid w:val="00B96682"/>
    <w:rsid w:val="00B9695B"/>
    <w:rsid w:val="00BA0F8D"/>
    <w:rsid w:val="00BA3ED8"/>
    <w:rsid w:val="00BA40CE"/>
    <w:rsid w:val="00BA5235"/>
    <w:rsid w:val="00BA64F3"/>
    <w:rsid w:val="00BA69E5"/>
    <w:rsid w:val="00BA7541"/>
    <w:rsid w:val="00BB1640"/>
    <w:rsid w:val="00BB23B4"/>
    <w:rsid w:val="00BB2998"/>
    <w:rsid w:val="00BB3317"/>
    <w:rsid w:val="00BB5766"/>
    <w:rsid w:val="00BB59EA"/>
    <w:rsid w:val="00BB5E51"/>
    <w:rsid w:val="00BB7027"/>
    <w:rsid w:val="00BC02E9"/>
    <w:rsid w:val="00BC164B"/>
    <w:rsid w:val="00BC3F4C"/>
    <w:rsid w:val="00BC55BB"/>
    <w:rsid w:val="00BC6EBA"/>
    <w:rsid w:val="00BC74DC"/>
    <w:rsid w:val="00BD2A35"/>
    <w:rsid w:val="00BD3D5E"/>
    <w:rsid w:val="00BD461A"/>
    <w:rsid w:val="00BD49ED"/>
    <w:rsid w:val="00BD4B5E"/>
    <w:rsid w:val="00BD542A"/>
    <w:rsid w:val="00BD5B4A"/>
    <w:rsid w:val="00BD6D95"/>
    <w:rsid w:val="00BD6F9F"/>
    <w:rsid w:val="00BD7A34"/>
    <w:rsid w:val="00BE0A64"/>
    <w:rsid w:val="00BE1F6A"/>
    <w:rsid w:val="00BE2887"/>
    <w:rsid w:val="00BE2C12"/>
    <w:rsid w:val="00BE35C2"/>
    <w:rsid w:val="00BE3D4B"/>
    <w:rsid w:val="00BE47B0"/>
    <w:rsid w:val="00BE65C0"/>
    <w:rsid w:val="00BF56EF"/>
    <w:rsid w:val="00BF5A62"/>
    <w:rsid w:val="00BF7067"/>
    <w:rsid w:val="00BF7EF2"/>
    <w:rsid w:val="00C021BD"/>
    <w:rsid w:val="00C02989"/>
    <w:rsid w:val="00C02A8F"/>
    <w:rsid w:val="00C02AFB"/>
    <w:rsid w:val="00C04CD8"/>
    <w:rsid w:val="00C06B51"/>
    <w:rsid w:val="00C10DA2"/>
    <w:rsid w:val="00C111C1"/>
    <w:rsid w:val="00C12BAE"/>
    <w:rsid w:val="00C148F6"/>
    <w:rsid w:val="00C14D59"/>
    <w:rsid w:val="00C1538C"/>
    <w:rsid w:val="00C15B26"/>
    <w:rsid w:val="00C2302B"/>
    <w:rsid w:val="00C2304F"/>
    <w:rsid w:val="00C23C04"/>
    <w:rsid w:val="00C25CAA"/>
    <w:rsid w:val="00C26EA8"/>
    <w:rsid w:val="00C26F77"/>
    <w:rsid w:val="00C3174C"/>
    <w:rsid w:val="00C3251B"/>
    <w:rsid w:val="00C3387D"/>
    <w:rsid w:val="00C33F33"/>
    <w:rsid w:val="00C34DFB"/>
    <w:rsid w:val="00C34FFF"/>
    <w:rsid w:val="00C357EF"/>
    <w:rsid w:val="00C35EB7"/>
    <w:rsid w:val="00C35EF5"/>
    <w:rsid w:val="00C40258"/>
    <w:rsid w:val="00C4330F"/>
    <w:rsid w:val="00C44699"/>
    <w:rsid w:val="00C45A12"/>
    <w:rsid w:val="00C47124"/>
    <w:rsid w:val="00C52642"/>
    <w:rsid w:val="00C52A98"/>
    <w:rsid w:val="00C55127"/>
    <w:rsid w:val="00C55889"/>
    <w:rsid w:val="00C55957"/>
    <w:rsid w:val="00C55DEB"/>
    <w:rsid w:val="00C56202"/>
    <w:rsid w:val="00C56431"/>
    <w:rsid w:val="00C56B62"/>
    <w:rsid w:val="00C625C2"/>
    <w:rsid w:val="00C62723"/>
    <w:rsid w:val="00C62816"/>
    <w:rsid w:val="00C62C76"/>
    <w:rsid w:val="00C65AB9"/>
    <w:rsid w:val="00C65FAA"/>
    <w:rsid w:val="00C66A15"/>
    <w:rsid w:val="00C70920"/>
    <w:rsid w:val="00C71124"/>
    <w:rsid w:val="00C73233"/>
    <w:rsid w:val="00C756E1"/>
    <w:rsid w:val="00C81BCD"/>
    <w:rsid w:val="00C84B69"/>
    <w:rsid w:val="00C84D1B"/>
    <w:rsid w:val="00C84DD4"/>
    <w:rsid w:val="00C86AD8"/>
    <w:rsid w:val="00C91755"/>
    <w:rsid w:val="00C92029"/>
    <w:rsid w:val="00C9314C"/>
    <w:rsid w:val="00C93585"/>
    <w:rsid w:val="00C96ACB"/>
    <w:rsid w:val="00C97088"/>
    <w:rsid w:val="00CA0057"/>
    <w:rsid w:val="00CA1FB2"/>
    <w:rsid w:val="00CA3364"/>
    <w:rsid w:val="00CA7C67"/>
    <w:rsid w:val="00CA7D14"/>
    <w:rsid w:val="00CB08E2"/>
    <w:rsid w:val="00CB69BF"/>
    <w:rsid w:val="00CB7942"/>
    <w:rsid w:val="00CB7CDD"/>
    <w:rsid w:val="00CC08F4"/>
    <w:rsid w:val="00CC1088"/>
    <w:rsid w:val="00CC2A68"/>
    <w:rsid w:val="00CC3123"/>
    <w:rsid w:val="00CC440B"/>
    <w:rsid w:val="00CC4D56"/>
    <w:rsid w:val="00CC73D9"/>
    <w:rsid w:val="00CD0779"/>
    <w:rsid w:val="00CD0B1C"/>
    <w:rsid w:val="00CD24E3"/>
    <w:rsid w:val="00CD2760"/>
    <w:rsid w:val="00CD32E0"/>
    <w:rsid w:val="00CD35E9"/>
    <w:rsid w:val="00CD3785"/>
    <w:rsid w:val="00CD5F8A"/>
    <w:rsid w:val="00CD64B9"/>
    <w:rsid w:val="00CE207F"/>
    <w:rsid w:val="00CE208E"/>
    <w:rsid w:val="00CE21DC"/>
    <w:rsid w:val="00CE2FD5"/>
    <w:rsid w:val="00CE3622"/>
    <w:rsid w:val="00CE471C"/>
    <w:rsid w:val="00CE6192"/>
    <w:rsid w:val="00CE6790"/>
    <w:rsid w:val="00CE7CD9"/>
    <w:rsid w:val="00CE7E1F"/>
    <w:rsid w:val="00CF2207"/>
    <w:rsid w:val="00CF2304"/>
    <w:rsid w:val="00CF4418"/>
    <w:rsid w:val="00CF5E6F"/>
    <w:rsid w:val="00CF5EDC"/>
    <w:rsid w:val="00CF7FC5"/>
    <w:rsid w:val="00D00A19"/>
    <w:rsid w:val="00D00C07"/>
    <w:rsid w:val="00D00CD7"/>
    <w:rsid w:val="00D022A0"/>
    <w:rsid w:val="00D04255"/>
    <w:rsid w:val="00D04BD5"/>
    <w:rsid w:val="00D05CC2"/>
    <w:rsid w:val="00D05FDC"/>
    <w:rsid w:val="00D0628F"/>
    <w:rsid w:val="00D10EA2"/>
    <w:rsid w:val="00D12652"/>
    <w:rsid w:val="00D12F33"/>
    <w:rsid w:val="00D146E5"/>
    <w:rsid w:val="00D156FE"/>
    <w:rsid w:val="00D1729B"/>
    <w:rsid w:val="00D20EE9"/>
    <w:rsid w:val="00D21921"/>
    <w:rsid w:val="00D25091"/>
    <w:rsid w:val="00D27DFF"/>
    <w:rsid w:val="00D3227F"/>
    <w:rsid w:val="00D33544"/>
    <w:rsid w:val="00D34A47"/>
    <w:rsid w:val="00D34F88"/>
    <w:rsid w:val="00D36A83"/>
    <w:rsid w:val="00D37B8F"/>
    <w:rsid w:val="00D413E4"/>
    <w:rsid w:val="00D424A2"/>
    <w:rsid w:val="00D433BF"/>
    <w:rsid w:val="00D44242"/>
    <w:rsid w:val="00D45772"/>
    <w:rsid w:val="00D45B6C"/>
    <w:rsid w:val="00D474A9"/>
    <w:rsid w:val="00D47EFD"/>
    <w:rsid w:val="00D502E8"/>
    <w:rsid w:val="00D52732"/>
    <w:rsid w:val="00D5310F"/>
    <w:rsid w:val="00D55E92"/>
    <w:rsid w:val="00D56C96"/>
    <w:rsid w:val="00D57AC8"/>
    <w:rsid w:val="00D60B2A"/>
    <w:rsid w:val="00D62383"/>
    <w:rsid w:val="00D62A7D"/>
    <w:rsid w:val="00D62AA0"/>
    <w:rsid w:val="00D634A3"/>
    <w:rsid w:val="00D63CAA"/>
    <w:rsid w:val="00D64220"/>
    <w:rsid w:val="00D65E69"/>
    <w:rsid w:val="00D661B7"/>
    <w:rsid w:val="00D66BDD"/>
    <w:rsid w:val="00D674B6"/>
    <w:rsid w:val="00D67D13"/>
    <w:rsid w:val="00D7108F"/>
    <w:rsid w:val="00D71C19"/>
    <w:rsid w:val="00D731A6"/>
    <w:rsid w:val="00D73B7A"/>
    <w:rsid w:val="00D742DB"/>
    <w:rsid w:val="00D7487C"/>
    <w:rsid w:val="00D7557F"/>
    <w:rsid w:val="00D76910"/>
    <w:rsid w:val="00D778B2"/>
    <w:rsid w:val="00D80FE3"/>
    <w:rsid w:val="00D812F2"/>
    <w:rsid w:val="00D84207"/>
    <w:rsid w:val="00D843A2"/>
    <w:rsid w:val="00D8740D"/>
    <w:rsid w:val="00D9246E"/>
    <w:rsid w:val="00D9448F"/>
    <w:rsid w:val="00D97F67"/>
    <w:rsid w:val="00DA355E"/>
    <w:rsid w:val="00DA4A12"/>
    <w:rsid w:val="00DA503F"/>
    <w:rsid w:val="00DA6CDD"/>
    <w:rsid w:val="00DB0335"/>
    <w:rsid w:val="00DB1DC1"/>
    <w:rsid w:val="00DB2AB6"/>
    <w:rsid w:val="00DB2E2D"/>
    <w:rsid w:val="00DB42E2"/>
    <w:rsid w:val="00DB557E"/>
    <w:rsid w:val="00DB55B4"/>
    <w:rsid w:val="00DB5915"/>
    <w:rsid w:val="00DB6D42"/>
    <w:rsid w:val="00DB6F0E"/>
    <w:rsid w:val="00DC21AC"/>
    <w:rsid w:val="00DC288F"/>
    <w:rsid w:val="00DC31AA"/>
    <w:rsid w:val="00DC31DC"/>
    <w:rsid w:val="00DC57D8"/>
    <w:rsid w:val="00DD0AB7"/>
    <w:rsid w:val="00DD1877"/>
    <w:rsid w:val="00DD21BF"/>
    <w:rsid w:val="00DD260B"/>
    <w:rsid w:val="00DD321D"/>
    <w:rsid w:val="00DD3978"/>
    <w:rsid w:val="00DD3D1E"/>
    <w:rsid w:val="00DD6897"/>
    <w:rsid w:val="00DE3BC5"/>
    <w:rsid w:val="00DE5615"/>
    <w:rsid w:val="00DE6D00"/>
    <w:rsid w:val="00DE76A3"/>
    <w:rsid w:val="00DF0638"/>
    <w:rsid w:val="00DF13C0"/>
    <w:rsid w:val="00DF1A92"/>
    <w:rsid w:val="00DF2610"/>
    <w:rsid w:val="00DF2E29"/>
    <w:rsid w:val="00DF2E44"/>
    <w:rsid w:val="00DF36B3"/>
    <w:rsid w:val="00DF5B55"/>
    <w:rsid w:val="00DF5C8A"/>
    <w:rsid w:val="00DF73F8"/>
    <w:rsid w:val="00E017D0"/>
    <w:rsid w:val="00E019B0"/>
    <w:rsid w:val="00E02682"/>
    <w:rsid w:val="00E04CFB"/>
    <w:rsid w:val="00E06280"/>
    <w:rsid w:val="00E06E0E"/>
    <w:rsid w:val="00E113DB"/>
    <w:rsid w:val="00E11F4B"/>
    <w:rsid w:val="00E11FD2"/>
    <w:rsid w:val="00E13BEA"/>
    <w:rsid w:val="00E147C7"/>
    <w:rsid w:val="00E1536B"/>
    <w:rsid w:val="00E16348"/>
    <w:rsid w:val="00E16F2C"/>
    <w:rsid w:val="00E220E5"/>
    <w:rsid w:val="00E22664"/>
    <w:rsid w:val="00E22F27"/>
    <w:rsid w:val="00E23417"/>
    <w:rsid w:val="00E246D1"/>
    <w:rsid w:val="00E25BA9"/>
    <w:rsid w:val="00E25FB7"/>
    <w:rsid w:val="00E30297"/>
    <w:rsid w:val="00E320B5"/>
    <w:rsid w:val="00E32137"/>
    <w:rsid w:val="00E32F85"/>
    <w:rsid w:val="00E35E12"/>
    <w:rsid w:val="00E3733E"/>
    <w:rsid w:val="00E403FD"/>
    <w:rsid w:val="00E41140"/>
    <w:rsid w:val="00E41AF6"/>
    <w:rsid w:val="00E43227"/>
    <w:rsid w:val="00E43B01"/>
    <w:rsid w:val="00E4679D"/>
    <w:rsid w:val="00E4724B"/>
    <w:rsid w:val="00E47937"/>
    <w:rsid w:val="00E5013E"/>
    <w:rsid w:val="00E559CB"/>
    <w:rsid w:val="00E562B3"/>
    <w:rsid w:val="00E5764C"/>
    <w:rsid w:val="00E57A1A"/>
    <w:rsid w:val="00E57BCE"/>
    <w:rsid w:val="00E57D46"/>
    <w:rsid w:val="00E6098A"/>
    <w:rsid w:val="00E63213"/>
    <w:rsid w:val="00E64013"/>
    <w:rsid w:val="00E64272"/>
    <w:rsid w:val="00E64343"/>
    <w:rsid w:val="00E71633"/>
    <w:rsid w:val="00E71F84"/>
    <w:rsid w:val="00E7228C"/>
    <w:rsid w:val="00E7684C"/>
    <w:rsid w:val="00E76C6B"/>
    <w:rsid w:val="00E80481"/>
    <w:rsid w:val="00E83C40"/>
    <w:rsid w:val="00E83F41"/>
    <w:rsid w:val="00E846AA"/>
    <w:rsid w:val="00E857AE"/>
    <w:rsid w:val="00E8612B"/>
    <w:rsid w:val="00E8644F"/>
    <w:rsid w:val="00E86508"/>
    <w:rsid w:val="00E86ACD"/>
    <w:rsid w:val="00E86B83"/>
    <w:rsid w:val="00E8726F"/>
    <w:rsid w:val="00E87F24"/>
    <w:rsid w:val="00E90806"/>
    <w:rsid w:val="00E9114E"/>
    <w:rsid w:val="00E915A4"/>
    <w:rsid w:val="00E915D8"/>
    <w:rsid w:val="00E92A74"/>
    <w:rsid w:val="00E92B2A"/>
    <w:rsid w:val="00E92E4C"/>
    <w:rsid w:val="00E930B5"/>
    <w:rsid w:val="00E93C62"/>
    <w:rsid w:val="00E97691"/>
    <w:rsid w:val="00E976CD"/>
    <w:rsid w:val="00EA2C80"/>
    <w:rsid w:val="00EA3E72"/>
    <w:rsid w:val="00EA4868"/>
    <w:rsid w:val="00EA709A"/>
    <w:rsid w:val="00EA77E2"/>
    <w:rsid w:val="00EA7D3A"/>
    <w:rsid w:val="00EB00E0"/>
    <w:rsid w:val="00EB1519"/>
    <w:rsid w:val="00EB35AF"/>
    <w:rsid w:val="00EB43C1"/>
    <w:rsid w:val="00EB4563"/>
    <w:rsid w:val="00EB5074"/>
    <w:rsid w:val="00EB6E4C"/>
    <w:rsid w:val="00EC20E6"/>
    <w:rsid w:val="00EC2782"/>
    <w:rsid w:val="00EC4B85"/>
    <w:rsid w:val="00EC58C6"/>
    <w:rsid w:val="00EC6D6E"/>
    <w:rsid w:val="00ED0A8D"/>
    <w:rsid w:val="00ED3510"/>
    <w:rsid w:val="00ED385F"/>
    <w:rsid w:val="00ED3CBB"/>
    <w:rsid w:val="00ED45DA"/>
    <w:rsid w:val="00ED4D11"/>
    <w:rsid w:val="00ED6528"/>
    <w:rsid w:val="00EE001E"/>
    <w:rsid w:val="00EE1054"/>
    <w:rsid w:val="00EE1663"/>
    <w:rsid w:val="00EE2C54"/>
    <w:rsid w:val="00EE47F6"/>
    <w:rsid w:val="00EE4AC1"/>
    <w:rsid w:val="00EF236E"/>
    <w:rsid w:val="00EF34BB"/>
    <w:rsid w:val="00EF39D4"/>
    <w:rsid w:val="00EF58E6"/>
    <w:rsid w:val="00EF5BD9"/>
    <w:rsid w:val="00EF5E41"/>
    <w:rsid w:val="00EF63AB"/>
    <w:rsid w:val="00EF6679"/>
    <w:rsid w:val="00F00678"/>
    <w:rsid w:val="00F01E98"/>
    <w:rsid w:val="00F0408F"/>
    <w:rsid w:val="00F057B8"/>
    <w:rsid w:val="00F07ED4"/>
    <w:rsid w:val="00F10025"/>
    <w:rsid w:val="00F10337"/>
    <w:rsid w:val="00F10CB0"/>
    <w:rsid w:val="00F111DF"/>
    <w:rsid w:val="00F1399A"/>
    <w:rsid w:val="00F175CA"/>
    <w:rsid w:val="00F2032D"/>
    <w:rsid w:val="00F216C0"/>
    <w:rsid w:val="00F216F4"/>
    <w:rsid w:val="00F21ABE"/>
    <w:rsid w:val="00F228B7"/>
    <w:rsid w:val="00F2593B"/>
    <w:rsid w:val="00F25EC9"/>
    <w:rsid w:val="00F30596"/>
    <w:rsid w:val="00F30837"/>
    <w:rsid w:val="00F31BCF"/>
    <w:rsid w:val="00F3324D"/>
    <w:rsid w:val="00F34658"/>
    <w:rsid w:val="00F35F7B"/>
    <w:rsid w:val="00F37E24"/>
    <w:rsid w:val="00F412FB"/>
    <w:rsid w:val="00F41D28"/>
    <w:rsid w:val="00F42BDB"/>
    <w:rsid w:val="00F43698"/>
    <w:rsid w:val="00F43DCE"/>
    <w:rsid w:val="00F43FB7"/>
    <w:rsid w:val="00F44289"/>
    <w:rsid w:val="00F44528"/>
    <w:rsid w:val="00F449A7"/>
    <w:rsid w:val="00F468EE"/>
    <w:rsid w:val="00F506D5"/>
    <w:rsid w:val="00F51BFB"/>
    <w:rsid w:val="00F5204E"/>
    <w:rsid w:val="00F534AB"/>
    <w:rsid w:val="00F53E54"/>
    <w:rsid w:val="00F546BE"/>
    <w:rsid w:val="00F54974"/>
    <w:rsid w:val="00F55BAC"/>
    <w:rsid w:val="00F568A7"/>
    <w:rsid w:val="00F57DE7"/>
    <w:rsid w:val="00F6082B"/>
    <w:rsid w:val="00F61885"/>
    <w:rsid w:val="00F62588"/>
    <w:rsid w:val="00F628B1"/>
    <w:rsid w:val="00F6463B"/>
    <w:rsid w:val="00F64A99"/>
    <w:rsid w:val="00F70350"/>
    <w:rsid w:val="00F74154"/>
    <w:rsid w:val="00F7479F"/>
    <w:rsid w:val="00F74E25"/>
    <w:rsid w:val="00F74EBC"/>
    <w:rsid w:val="00F7523A"/>
    <w:rsid w:val="00F77A1E"/>
    <w:rsid w:val="00F77AA7"/>
    <w:rsid w:val="00F812DE"/>
    <w:rsid w:val="00F81316"/>
    <w:rsid w:val="00F81BDC"/>
    <w:rsid w:val="00F81E51"/>
    <w:rsid w:val="00F82C08"/>
    <w:rsid w:val="00F82F9A"/>
    <w:rsid w:val="00F8307A"/>
    <w:rsid w:val="00F8422B"/>
    <w:rsid w:val="00F87E1C"/>
    <w:rsid w:val="00F906CC"/>
    <w:rsid w:val="00F90721"/>
    <w:rsid w:val="00F9175D"/>
    <w:rsid w:val="00F9327E"/>
    <w:rsid w:val="00F93D23"/>
    <w:rsid w:val="00F951A4"/>
    <w:rsid w:val="00F953EF"/>
    <w:rsid w:val="00F96373"/>
    <w:rsid w:val="00F9695A"/>
    <w:rsid w:val="00FA0E3B"/>
    <w:rsid w:val="00FA11DA"/>
    <w:rsid w:val="00FA29A5"/>
    <w:rsid w:val="00FA3BFB"/>
    <w:rsid w:val="00FA3D5C"/>
    <w:rsid w:val="00FB053C"/>
    <w:rsid w:val="00FB14AB"/>
    <w:rsid w:val="00FB23F6"/>
    <w:rsid w:val="00FB242F"/>
    <w:rsid w:val="00FB2826"/>
    <w:rsid w:val="00FB3EE7"/>
    <w:rsid w:val="00FB4FAE"/>
    <w:rsid w:val="00FB55EA"/>
    <w:rsid w:val="00FB6680"/>
    <w:rsid w:val="00FB6B4B"/>
    <w:rsid w:val="00FB74F2"/>
    <w:rsid w:val="00FB75CB"/>
    <w:rsid w:val="00FC0DF3"/>
    <w:rsid w:val="00FC1779"/>
    <w:rsid w:val="00FC2980"/>
    <w:rsid w:val="00FC3BD2"/>
    <w:rsid w:val="00FC4505"/>
    <w:rsid w:val="00FC4A8D"/>
    <w:rsid w:val="00FC4FC3"/>
    <w:rsid w:val="00FC512B"/>
    <w:rsid w:val="00FC6703"/>
    <w:rsid w:val="00FC7131"/>
    <w:rsid w:val="00FD0057"/>
    <w:rsid w:val="00FD0927"/>
    <w:rsid w:val="00FD274E"/>
    <w:rsid w:val="00FD3931"/>
    <w:rsid w:val="00FD421B"/>
    <w:rsid w:val="00FD5360"/>
    <w:rsid w:val="00FD71F0"/>
    <w:rsid w:val="00FD7650"/>
    <w:rsid w:val="00FE30AF"/>
    <w:rsid w:val="00FE33B8"/>
    <w:rsid w:val="00FE3590"/>
    <w:rsid w:val="00FE53A7"/>
    <w:rsid w:val="00FE6A6A"/>
    <w:rsid w:val="00FF2476"/>
    <w:rsid w:val="00FF53B3"/>
    <w:rsid w:val="00FF5C6B"/>
    <w:rsid w:val="00FF71BC"/>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0CE"/>
    <w:rPr>
      <w:rFonts w:ascii="Arial" w:hAnsi="Arial"/>
      <w:sz w:val="22"/>
      <w:szCs w:val="24"/>
    </w:rPr>
  </w:style>
  <w:style w:type="paragraph" w:styleId="Heading1">
    <w:name w:val="heading 1"/>
    <w:basedOn w:val="Normal"/>
    <w:next w:val="Normal"/>
    <w:qFormat/>
    <w:pPr>
      <w:keepNext/>
      <w:outlineLvl w:val="0"/>
    </w:pPr>
    <w:rPr>
      <w:rFonts w:ascii="Calibri" w:eastAsia="Calibri" w:hAnsi="Calibri"/>
      <w:b/>
      <w:szCs w:val="22"/>
    </w:rPr>
  </w:style>
  <w:style w:type="paragraph" w:styleId="Heading3">
    <w:name w:val="heading 3"/>
    <w:basedOn w:val="Normal"/>
    <w:next w:val="Normal"/>
    <w:link w:val="Heading3Char"/>
    <w:semiHidden/>
    <w:unhideWhenUsed/>
    <w:qFormat/>
    <w:rsid w:val="00844F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2, Char2"/>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
    <w:name w:val="Body Text"/>
    <w:basedOn w:val="Normal"/>
    <w:link w:val="BodyTextChar"/>
    <w:rPr>
      <w:b/>
      <w:szCs w:val="20"/>
      <w:u w:val="single"/>
    </w:rPr>
  </w:style>
  <w:style w:type="paragraph" w:styleId="BodyTextIndent2">
    <w:name w:val="Body Text Indent 2"/>
    <w:basedOn w:val="Normal"/>
    <w:pPr>
      <w:spacing w:before="120" w:after="120"/>
      <w:ind w:left="-4"/>
    </w:pPr>
    <w:rPr>
      <w:sz w:val="20"/>
      <w:szCs w:val="20"/>
    </w:rPr>
  </w:style>
  <w:style w:type="paragraph" w:styleId="BodyTextIndent3">
    <w:name w:val="Body Text Indent 3"/>
    <w:basedOn w:val="Normal"/>
    <w:pPr>
      <w:spacing w:before="120" w:after="120"/>
      <w:ind w:left="296" w:hanging="300"/>
    </w:pPr>
    <w:rPr>
      <w:sz w:val="20"/>
      <w:szCs w:val="20"/>
    </w:rPr>
  </w:style>
  <w:style w:type="paragraph" w:styleId="BodyTextIndent">
    <w:name w:val="Body Text Indent"/>
    <w:basedOn w:val="Normal"/>
    <w:pPr>
      <w:spacing w:before="60" w:after="60"/>
      <w:ind w:left="252" w:hanging="252"/>
    </w:pPr>
    <w:rPr>
      <w:rFonts w:cs="Arial"/>
      <w:sz w:val="20"/>
    </w:rPr>
  </w:style>
  <w:style w:type="paragraph" w:styleId="BodyText2">
    <w:name w:val="Body Text 2"/>
    <w:basedOn w:val="Normal"/>
    <w:link w:val="BodyText2Char"/>
    <w:pPr>
      <w:spacing w:before="60" w:after="60"/>
    </w:pPr>
    <w:rPr>
      <w:rFonts w:cs="Arial"/>
      <w:bCs/>
      <w:sz w:val="20"/>
    </w:rPr>
  </w:style>
  <w:style w:type="paragraph" w:customStyle="1" w:styleId="StyleLeft025">
    <w:name w:val="Style Left:  0.25&quot;"/>
    <w:basedOn w:val="Normal"/>
    <w:link w:val="StyleLeft025Char"/>
    <w:pPr>
      <w:ind w:left="360"/>
    </w:pPr>
    <w:rPr>
      <w:szCs w:val="20"/>
    </w:rPr>
  </w:style>
  <w:style w:type="character" w:styleId="Hyperlink">
    <w:name w:val="Hyperlink"/>
    <w:rsid w:val="003D39EC"/>
    <w:rPr>
      <w:rFonts w:ascii="Arial" w:hAnsi="Arial"/>
      <w:color w:val="0000C4"/>
      <w:sz w:val="22"/>
      <w:u w:val="none"/>
    </w:rPr>
  </w:style>
  <w:style w:type="paragraph" w:styleId="NormalWeb">
    <w:name w:val="Normal (Web)"/>
    <w:basedOn w:val="Normal"/>
    <w:rsid w:val="00611CF7"/>
    <w:pPr>
      <w:spacing w:before="100" w:beforeAutospacing="1" w:after="100" w:afterAutospacing="1"/>
    </w:pPr>
    <w:rPr>
      <w:rFonts w:ascii="Times New Roman" w:hAnsi="Times New Roman"/>
      <w:sz w:val="24"/>
    </w:rPr>
  </w:style>
  <w:style w:type="character" w:styleId="FollowedHyperlink">
    <w:name w:val="FollowedHyperlink"/>
    <w:rPr>
      <w:rFonts w:ascii="Arial" w:hAnsi="Arial"/>
      <w:color w:val="000080"/>
      <w:sz w:val="22"/>
      <w:u w:val="none"/>
    </w:rPr>
  </w:style>
  <w:style w:type="paragraph" w:styleId="BalloonText">
    <w:name w:val="Balloon Text"/>
    <w:basedOn w:val="Normal"/>
    <w:semiHidden/>
    <w:rPr>
      <w:rFonts w:ascii="Tahoma" w:hAnsi="Tahoma" w:cs="Tahoma"/>
      <w:sz w:val="16"/>
      <w:szCs w:val="16"/>
    </w:rPr>
  </w:style>
  <w:style w:type="paragraph" w:customStyle="1" w:styleId="styleleft0250">
    <w:name w:val="styleleft025"/>
    <w:basedOn w:val="Normal"/>
    <w:pPr>
      <w:spacing w:before="100" w:beforeAutospacing="1" w:after="100" w:afterAutospacing="1"/>
    </w:pPr>
    <w:rPr>
      <w:rFonts w:ascii="Times New Roman" w:hAnsi="Times New Roman"/>
      <w:sz w:val="24"/>
    </w:rPr>
  </w:style>
  <w:style w:type="table" w:styleId="TableGrid">
    <w:name w:val="Table Grid"/>
    <w:basedOn w:val="TableNormal"/>
    <w:rsid w:val="00F82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Char Char,Char2 Char, Char2 Char"/>
    <w:link w:val="Header"/>
    <w:rsid w:val="00205CB3"/>
    <w:rPr>
      <w:rFonts w:ascii="Arial" w:hAnsi="Arial"/>
      <w:sz w:val="22"/>
      <w:szCs w:val="24"/>
    </w:rPr>
  </w:style>
  <w:style w:type="character" w:customStyle="1" w:styleId="FooterChar">
    <w:name w:val="Footer Char"/>
    <w:link w:val="Footer"/>
    <w:rsid w:val="0052549B"/>
    <w:rPr>
      <w:rFonts w:ascii="Arial" w:hAnsi="Arial"/>
      <w:sz w:val="22"/>
      <w:szCs w:val="24"/>
    </w:rPr>
  </w:style>
  <w:style w:type="character" w:styleId="Strong">
    <w:name w:val="Strong"/>
    <w:qFormat/>
    <w:rsid w:val="00C65AB9"/>
    <w:rPr>
      <w:b/>
      <w:bCs/>
    </w:rPr>
  </w:style>
  <w:style w:type="paragraph" w:styleId="CommentText">
    <w:name w:val="annotation text"/>
    <w:basedOn w:val="Normal"/>
    <w:link w:val="CommentTextChar"/>
    <w:rsid w:val="0092080A"/>
    <w:rPr>
      <w:sz w:val="20"/>
      <w:szCs w:val="20"/>
    </w:rPr>
  </w:style>
  <w:style w:type="character" w:customStyle="1" w:styleId="CommentTextChar">
    <w:name w:val="Comment Text Char"/>
    <w:link w:val="CommentText"/>
    <w:rsid w:val="0092080A"/>
    <w:rPr>
      <w:rFonts w:ascii="Arial" w:hAnsi="Arial"/>
    </w:rPr>
  </w:style>
  <w:style w:type="paragraph" w:styleId="ListParagraph">
    <w:name w:val="List Paragraph"/>
    <w:basedOn w:val="Normal"/>
    <w:uiPriority w:val="34"/>
    <w:qFormat/>
    <w:rsid w:val="002C3F06"/>
    <w:pPr>
      <w:ind w:left="720"/>
    </w:pPr>
    <w:rPr>
      <w:rFonts w:ascii="Times New Roman" w:hAnsi="Times New Roman"/>
      <w:sz w:val="24"/>
    </w:rPr>
  </w:style>
  <w:style w:type="paragraph" w:customStyle="1" w:styleId="ColorfulList-Accent11">
    <w:name w:val="Colorful List - Accent 11"/>
    <w:basedOn w:val="Normal"/>
    <w:uiPriority w:val="34"/>
    <w:qFormat/>
    <w:rsid w:val="003D1815"/>
    <w:pPr>
      <w:ind w:left="720"/>
    </w:pPr>
    <w:rPr>
      <w:rFonts w:ascii="Times New Roman" w:hAnsi="Times New Roman"/>
      <w:sz w:val="24"/>
    </w:rPr>
  </w:style>
  <w:style w:type="character" w:customStyle="1" w:styleId="Heading3Char">
    <w:name w:val="Heading 3 Char"/>
    <w:link w:val="Heading3"/>
    <w:semiHidden/>
    <w:rsid w:val="00844F6D"/>
    <w:rPr>
      <w:rFonts w:ascii="Cambria" w:eastAsia="Times New Roman" w:hAnsi="Cambria" w:cs="Times New Roman"/>
      <w:b/>
      <w:bCs/>
      <w:sz w:val="26"/>
      <w:szCs w:val="26"/>
    </w:rPr>
  </w:style>
  <w:style w:type="character" w:customStyle="1" w:styleId="BodyText2Char">
    <w:name w:val="Body Text 2 Char"/>
    <w:link w:val="BodyText2"/>
    <w:rsid w:val="000734F2"/>
    <w:rPr>
      <w:rFonts w:ascii="Arial" w:hAnsi="Arial" w:cs="Arial"/>
      <w:bCs/>
      <w:szCs w:val="24"/>
    </w:rPr>
  </w:style>
  <w:style w:type="paragraph" w:styleId="PlainText">
    <w:name w:val="Plain Text"/>
    <w:basedOn w:val="Normal"/>
    <w:link w:val="PlainTextChar"/>
    <w:uiPriority w:val="99"/>
    <w:unhideWhenUsed/>
    <w:rsid w:val="00506BDE"/>
    <w:rPr>
      <w:rFonts w:ascii="Consolas" w:eastAsia="Calibri" w:hAnsi="Consolas"/>
      <w:sz w:val="21"/>
      <w:szCs w:val="21"/>
    </w:rPr>
  </w:style>
  <w:style w:type="character" w:customStyle="1" w:styleId="PlainTextChar">
    <w:name w:val="Plain Text Char"/>
    <w:link w:val="PlainText"/>
    <w:uiPriority w:val="99"/>
    <w:rsid w:val="00506BDE"/>
    <w:rPr>
      <w:rFonts w:ascii="Consolas" w:eastAsia="Calibri" w:hAnsi="Consolas"/>
      <w:sz w:val="21"/>
      <w:szCs w:val="21"/>
    </w:rPr>
  </w:style>
  <w:style w:type="character" w:customStyle="1" w:styleId="BodyTextChar">
    <w:name w:val="Body Text Char"/>
    <w:link w:val="BodyText"/>
    <w:rsid w:val="00506BDE"/>
    <w:rPr>
      <w:rFonts w:ascii="Arial" w:hAnsi="Arial"/>
      <w:b/>
      <w:sz w:val="22"/>
      <w:u w:val="single"/>
    </w:rPr>
  </w:style>
  <w:style w:type="paragraph" w:styleId="Title">
    <w:name w:val="Title"/>
    <w:basedOn w:val="Normal"/>
    <w:link w:val="TitleChar"/>
    <w:qFormat/>
    <w:rsid w:val="003B16EE"/>
    <w:pPr>
      <w:jc w:val="center"/>
    </w:pPr>
    <w:rPr>
      <w:rFonts w:ascii="Times New Roman" w:hAnsi="Times New Roman"/>
      <w:b/>
      <w:bCs/>
      <w:sz w:val="24"/>
    </w:rPr>
  </w:style>
  <w:style w:type="character" w:customStyle="1" w:styleId="TitleChar">
    <w:name w:val="Title Char"/>
    <w:link w:val="Title"/>
    <w:rsid w:val="003B16EE"/>
    <w:rPr>
      <w:b/>
      <w:bCs/>
      <w:sz w:val="24"/>
      <w:szCs w:val="24"/>
    </w:rPr>
  </w:style>
  <w:style w:type="paragraph" w:customStyle="1" w:styleId="Default">
    <w:name w:val="Default"/>
    <w:rsid w:val="007D6DD2"/>
    <w:pPr>
      <w:widowControl w:val="0"/>
      <w:autoSpaceDE w:val="0"/>
      <w:autoSpaceDN w:val="0"/>
      <w:adjustRightInd w:val="0"/>
    </w:pPr>
    <w:rPr>
      <w:color w:val="000000"/>
      <w:sz w:val="24"/>
      <w:szCs w:val="24"/>
    </w:rPr>
  </w:style>
  <w:style w:type="paragraph" w:customStyle="1" w:styleId="Imstrlink">
    <w:name w:val="Imstrlink"/>
    <w:basedOn w:val="StyleLeft025"/>
    <w:link w:val="ImstrlinkChar"/>
    <w:qFormat/>
    <w:rsid w:val="008464DF"/>
    <w:pPr>
      <w:ind w:left="0"/>
    </w:pPr>
    <w:rPr>
      <w:i/>
      <w:color w:val="0000CC"/>
      <w:u w:val="single"/>
    </w:rPr>
  </w:style>
  <w:style w:type="character" w:customStyle="1" w:styleId="StyleLeft025Char">
    <w:name w:val="Style Left:  0.25&quot; Char"/>
    <w:link w:val="StyleLeft025"/>
    <w:rsid w:val="008464DF"/>
    <w:rPr>
      <w:rFonts w:ascii="Arial" w:hAnsi="Arial"/>
      <w:sz w:val="22"/>
    </w:rPr>
  </w:style>
  <w:style w:type="character" w:customStyle="1" w:styleId="ImstrlinkChar">
    <w:name w:val="Imstrlink Char"/>
    <w:basedOn w:val="StyleLeft025Char"/>
    <w:link w:val="Imstrlink"/>
    <w:rsid w:val="008464D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0CE"/>
    <w:rPr>
      <w:rFonts w:ascii="Arial" w:hAnsi="Arial"/>
      <w:sz w:val="22"/>
      <w:szCs w:val="24"/>
    </w:rPr>
  </w:style>
  <w:style w:type="paragraph" w:styleId="Heading1">
    <w:name w:val="heading 1"/>
    <w:basedOn w:val="Normal"/>
    <w:next w:val="Normal"/>
    <w:qFormat/>
    <w:pPr>
      <w:keepNext/>
      <w:outlineLvl w:val="0"/>
    </w:pPr>
    <w:rPr>
      <w:rFonts w:ascii="Calibri" w:eastAsia="Calibri" w:hAnsi="Calibri"/>
      <w:b/>
      <w:szCs w:val="22"/>
    </w:rPr>
  </w:style>
  <w:style w:type="paragraph" w:styleId="Heading3">
    <w:name w:val="heading 3"/>
    <w:basedOn w:val="Normal"/>
    <w:next w:val="Normal"/>
    <w:link w:val="Heading3Char"/>
    <w:semiHidden/>
    <w:unhideWhenUsed/>
    <w:qFormat/>
    <w:rsid w:val="00844F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2, Char2"/>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
    <w:name w:val="Body Text"/>
    <w:basedOn w:val="Normal"/>
    <w:link w:val="BodyTextChar"/>
    <w:rPr>
      <w:b/>
      <w:szCs w:val="20"/>
      <w:u w:val="single"/>
    </w:rPr>
  </w:style>
  <w:style w:type="paragraph" w:styleId="BodyTextIndent2">
    <w:name w:val="Body Text Indent 2"/>
    <w:basedOn w:val="Normal"/>
    <w:pPr>
      <w:spacing w:before="120" w:after="120"/>
      <w:ind w:left="-4"/>
    </w:pPr>
    <w:rPr>
      <w:sz w:val="20"/>
      <w:szCs w:val="20"/>
    </w:rPr>
  </w:style>
  <w:style w:type="paragraph" w:styleId="BodyTextIndent3">
    <w:name w:val="Body Text Indent 3"/>
    <w:basedOn w:val="Normal"/>
    <w:pPr>
      <w:spacing w:before="120" w:after="120"/>
      <w:ind w:left="296" w:hanging="300"/>
    </w:pPr>
    <w:rPr>
      <w:sz w:val="20"/>
      <w:szCs w:val="20"/>
    </w:rPr>
  </w:style>
  <w:style w:type="paragraph" w:styleId="BodyTextIndent">
    <w:name w:val="Body Text Indent"/>
    <w:basedOn w:val="Normal"/>
    <w:pPr>
      <w:spacing w:before="60" w:after="60"/>
      <w:ind w:left="252" w:hanging="252"/>
    </w:pPr>
    <w:rPr>
      <w:rFonts w:cs="Arial"/>
      <w:sz w:val="20"/>
    </w:rPr>
  </w:style>
  <w:style w:type="paragraph" w:styleId="BodyText2">
    <w:name w:val="Body Text 2"/>
    <w:basedOn w:val="Normal"/>
    <w:link w:val="BodyText2Char"/>
    <w:pPr>
      <w:spacing w:before="60" w:after="60"/>
    </w:pPr>
    <w:rPr>
      <w:rFonts w:cs="Arial"/>
      <w:bCs/>
      <w:sz w:val="20"/>
    </w:rPr>
  </w:style>
  <w:style w:type="paragraph" w:customStyle="1" w:styleId="StyleLeft025">
    <w:name w:val="Style Left:  0.25&quot;"/>
    <w:basedOn w:val="Normal"/>
    <w:link w:val="StyleLeft025Char"/>
    <w:pPr>
      <w:ind w:left="360"/>
    </w:pPr>
    <w:rPr>
      <w:szCs w:val="20"/>
    </w:rPr>
  </w:style>
  <w:style w:type="character" w:styleId="Hyperlink">
    <w:name w:val="Hyperlink"/>
    <w:rsid w:val="003D39EC"/>
    <w:rPr>
      <w:rFonts w:ascii="Arial" w:hAnsi="Arial"/>
      <w:color w:val="0000C4"/>
      <w:sz w:val="22"/>
      <w:u w:val="none"/>
    </w:rPr>
  </w:style>
  <w:style w:type="paragraph" w:styleId="NormalWeb">
    <w:name w:val="Normal (Web)"/>
    <w:basedOn w:val="Normal"/>
    <w:rsid w:val="00611CF7"/>
    <w:pPr>
      <w:spacing w:before="100" w:beforeAutospacing="1" w:after="100" w:afterAutospacing="1"/>
    </w:pPr>
    <w:rPr>
      <w:rFonts w:ascii="Times New Roman" w:hAnsi="Times New Roman"/>
      <w:sz w:val="24"/>
    </w:rPr>
  </w:style>
  <w:style w:type="character" w:styleId="FollowedHyperlink">
    <w:name w:val="FollowedHyperlink"/>
    <w:rPr>
      <w:rFonts w:ascii="Arial" w:hAnsi="Arial"/>
      <w:color w:val="000080"/>
      <w:sz w:val="22"/>
      <w:u w:val="none"/>
    </w:rPr>
  </w:style>
  <w:style w:type="paragraph" w:styleId="BalloonText">
    <w:name w:val="Balloon Text"/>
    <w:basedOn w:val="Normal"/>
    <w:semiHidden/>
    <w:rPr>
      <w:rFonts w:ascii="Tahoma" w:hAnsi="Tahoma" w:cs="Tahoma"/>
      <w:sz w:val="16"/>
      <w:szCs w:val="16"/>
    </w:rPr>
  </w:style>
  <w:style w:type="paragraph" w:customStyle="1" w:styleId="styleleft0250">
    <w:name w:val="styleleft025"/>
    <w:basedOn w:val="Normal"/>
    <w:pPr>
      <w:spacing w:before="100" w:beforeAutospacing="1" w:after="100" w:afterAutospacing="1"/>
    </w:pPr>
    <w:rPr>
      <w:rFonts w:ascii="Times New Roman" w:hAnsi="Times New Roman"/>
      <w:sz w:val="24"/>
    </w:rPr>
  </w:style>
  <w:style w:type="table" w:styleId="TableGrid">
    <w:name w:val="Table Grid"/>
    <w:basedOn w:val="TableNormal"/>
    <w:rsid w:val="00F82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Char Char,Char2 Char, Char2 Char"/>
    <w:link w:val="Header"/>
    <w:rsid w:val="00205CB3"/>
    <w:rPr>
      <w:rFonts w:ascii="Arial" w:hAnsi="Arial"/>
      <w:sz w:val="22"/>
      <w:szCs w:val="24"/>
    </w:rPr>
  </w:style>
  <w:style w:type="character" w:customStyle="1" w:styleId="FooterChar">
    <w:name w:val="Footer Char"/>
    <w:link w:val="Footer"/>
    <w:rsid w:val="0052549B"/>
    <w:rPr>
      <w:rFonts w:ascii="Arial" w:hAnsi="Arial"/>
      <w:sz w:val="22"/>
      <w:szCs w:val="24"/>
    </w:rPr>
  </w:style>
  <w:style w:type="character" w:styleId="Strong">
    <w:name w:val="Strong"/>
    <w:qFormat/>
    <w:rsid w:val="00C65AB9"/>
    <w:rPr>
      <w:b/>
      <w:bCs/>
    </w:rPr>
  </w:style>
  <w:style w:type="paragraph" w:styleId="CommentText">
    <w:name w:val="annotation text"/>
    <w:basedOn w:val="Normal"/>
    <w:link w:val="CommentTextChar"/>
    <w:rsid w:val="0092080A"/>
    <w:rPr>
      <w:sz w:val="20"/>
      <w:szCs w:val="20"/>
    </w:rPr>
  </w:style>
  <w:style w:type="character" w:customStyle="1" w:styleId="CommentTextChar">
    <w:name w:val="Comment Text Char"/>
    <w:link w:val="CommentText"/>
    <w:rsid w:val="0092080A"/>
    <w:rPr>
      <w:rFonts w:ascii="Arial" w:hAnsi="Arial"/>
    </w:rPr>
  </w:style>
  <w:style w:type="paragraph" w:styleId="ListParagraph">
    <w:name w:val="List Paragraph"/>
    <w:basedOn w:val="Normal"/>
    <w:uiPriority w:val="34"/>
    <w:qFormat/>
    <w:rsid w:val="002C3F06"/>
    <w:pPr>
      <w:ind w:left="720"/>
    </w:pPr>
    <w:rPr>
      <w:rFonts w:ascii="Times New Roman" w:hAnsi="Times New Roman"/>
      <w:sz w:val="24"/>
    </w:rPr>
  </w:style>
  <w:style w:type="paragraph" w:customStyle="1" w:styleId="ColorfulList-Accent11">
    <w:name w:val="Colorful List - Accent 11"/>
    <w:basedOn w:val="Normal"/>
    <w:uiPriority w:val="34"/>
    <w:qFormat/>
    <w:rsid w:val="003D1815"/>
    <w:pPr>
      <w:ind w:left="720"/>
    </w:pPr>
    <w:rPr>
      <w:rFonts w:ascii="Times New Roman" w:hAnsi="Times New Roman"/>
      <w:sz w:val="24"/>
    </w:rPr>
  </w:style>
  <w:style w:type="character" w:customStyle="1" w:styleId="Heading3Char">
    <w:name w:val="Heading 3 Char"/>
    <w:link w:val="Heading3"/>
    <w:semiHidden/>
    <w:rsid w:val="00844F6D"/>
    <w:rPr>
      <w:rFonts w:ascii="Cambria" w:eastAsia="Times New Roman" w:hAnsi="Cambria" w:cs="Times New Roman"/>
      <w:b/>
      <w:bCs/>
      <w:sz w:val="26"/>
      <w:szCs w:val="26"/>
    </w:rPr>
  </w:style>
  <w:style w:type="character" w:customStyle="1" w:styleId="BodyText2Char">
    <w:name w:val="Body Text 2 Char"/>
    <w:link w:val="BodyText2"/>
    <w:rsid w:val="000734F2"/>
    <w:rPr>
      <w:rFonts w:ascii="Arial" w:hAnsi="Arial" w:cs="Arial"/>
      <w:bCs/>
      <w:szCs w:val="24"/>
    </w:rPr>
  </w:style>
  <w:style w:type="paragraph" w:styleId="PlainText">
    <w:name w:val="Plain Text"/>
    <w:basedOn w:val="Normal"/>
    <w:link w:val="PlainTextChar"/>
    <w:uiPriority w:val="99"/>
    <w:unhideWhenUsed/>
    <w:rsid w:val="00506BDE"/>
    <w:rPr>
      <w:rFonts w:ascii="Consolas" w:eastAsia="Calibri" w:hAnsi="Consolas"/>
      <w:sz w:val="21"/>
      <w:szCs w:val="21"/>
    </w:rPr>
  </w:style>
  <w:style w:type="character" w:customStyle="1" w:styleId="PlainTextChar">
    <w:name w:val="Plain Text Char"/>
    <w:link w:val="PlainText"/>
    <w:uiPriority w:val="99"/>
    <w:rsid w:val="00506BDE"/>
    <w:rPr>
      <w:rFonts w:ascii="Consolas" w:eastAsia="Calibri" w:hAnsi="Consolas"/>
      <w:sz w:val="21"/>
      <w:szCs w:val="21"/>
    </w:rPr>
  </w:style>
  <w:style w:type="character" w:customStyle="1" w:styleId="BodyTextChar">
    <w:name w:val="Body Text Char"/>
    <w:link w:val="BodyText"/>
    <w:rsid w:val="00506BDE"/>
    <w:rPr>
      <w:rFonts w:ascii="Arial" w:hAnsi="Arial"/>
      <w:b/>
      <w:sz w:val="22"/>
      <w:u w:val="single"/>
    </w:rPr>
  </w:style>
  <w:style w:type="paragraph" w:styleId="Title">
    <w:name w:val="Title"/>
    <w:basedOn w:val="Normal"/>
    <w:link w:val="TitleChar"/>
    <w:qFormat/>
    <w:rsid w:val="003B16EE"/>
    <w:pPr>
      <w:jc w:val="center"/>
    </w:pPr>
    <w:rPr>
      <w:rFonts w:ascii="Times New Roman" w:hAnsi="Times New Roman"/>
      <w:b/>
      <w:bCs/>
      <w:sz w:val="24"/>
    </w:rPr>
  </w:style>
  <w:style w:type="character" w:customStyle="1" w:styleId="TitleChar">
    <w:name w:val="Title Char"/>
    <w:link w:val="Title"/>
    <w:rsid w:val="003B16EE"/>
    <w:rPr>
      <w:b/>
      <w:bCs/>
      <w:sz w:val="24"/>
      <w:szCs w:val="24"/>
    </w:rPr>
  </w:style>
  <w:style w:type="paragraph" w:customStyle="1" w:styleId="Default">
    <w:name w:val="Default"/>
    <w:rsid w:val="007D6DD2"/>
    <w:pPr>
      <w:widowControl w:val="0"/>
      <w:autoSpaceDE w:val="0"/>
      <w:autoSpaceDN w:val="0"/>
      <w:adjustRightInd w:val="0"/>
    </w:pPr>
    <w:rPr>
      <w:color w:val="000000"/>
      <w:sz w:val="24"/>
      <w:szCs w:val="24"/>
    </w:rPr>
  </w:style>
  <w:style w:type="paragraph" w:customStyle="1" w:styleId="Imstrlink">
    <w:name w:val="Imstrlink"/>
    <w:basedOn w:val="StyleLeft025"/>
    <w:link w:val="ImstrlinkChar"/>
    <w:qFormat/>
    <w:rsid w:val="008464DF"/>
    <w:pPr>
      <w:ind w:left="0"/>
    </w:pPr>
    <w:rPr>
      <w:i/>
      <w:color w:val="0000CC"/>
      <w:u w:val="single"/>
    </w:rPr>
  </w:style>
  <w:style w:type="character" w:customStyle="1" w:styleId="StyleLeft025Char">
    <w:name w:val="Style Left:  0.25&quot; Char"/>
    <w:link w:val="StyleLeft025"/>
    <w:rsid w:val="008464DF"/>
    <w:rPr>
      <w:rFonts w:ascii="Arial" w:hAnsi="Arial"/>
      <w:sz w:val="22"/>
    </w:rPr>
  </w:style>
  <w:style w:type="character" w:customStyle="1" w:styleId="ImstrlinkChar">
    <w:name w:val="Imstrlink Char"/>
    <w:basedOn w:val="StyleLeft025Char"/>
    <w:link w:val="Imstrlink"/>
    <w:rsid w:val="008464D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711">
      <w:bodyDiv w:val="1"/>
      <w:marLeft w:val="0"/>
      <w:marRight w:val="0"/>
      <w:marTop w:val="0"/>
      <w:marBottom w:val="0"/>
      <w:divBdr>
        <w:top w:val="none" w:sz="0" w:space="0" w:color="auto"/>
        <w:left w:val="none" w:sz="0" w:space="0" w:color="auto"/>
        <w:bottom w:val="none" w:sz="0" w:space="0" w:color="auto"/>
        <w:right w:val="none" w:sz="0" w:space="0" w:color="auto"/>
      </w:divBdr>
    </w:div>
    <w:div w:id="23559506">
      <w:bodyDiv w:val="1"/>
      <w:marLeft w:val="0"/>
      <w:marRight w:val="0"/>
      <w:marTop w:val="0"/>
      <w:marBottom w:val="0"/>
      <w:divBdr>
        <w:top w:val="none" w:sz="0" w:space="0" w:color="auto"/>
        <w:left w:val="none" w:sz="0" w:space="0" w:color="auto"/>
        <w:bottom w:val="none" w:sz="0" w:space="0" w:color="auto"/>
        <w:right w:val="none" w:sz="0" w:space="0" w:color="auto"/>
      </w:divBdr>
    </w:div>
    <w:div w:id="25909248">
      <w:bodyDiv w:val="1"/>
      <w:marLeft w:val="0"/>
      <w:marRight w:val="0"/>
      <w:marTop w:val="0"/>
      <w:marBottom w:val="0"/>
      <w:divBdr>
        <w:top w:val="none" w:sz="0" w:space="0" w:color="auto"/>
        <w:left w:val="none" w:sz="0" w:space="0" w:color="auto"/>
        <w:bottom w:val="none" w:sz="0" w:space="0" w:color="auto"/>
        <w:right w:val="none" w:sz="0" w:space="0" w:color="auto"/>
      </w:divBdr>
    </w:div>
    <w:div w:id="35937134">
      <w:bodyDiv w:val="1"/>
      <w:marLeft w:val="0"/>
      <w:marRight w:val="0"/>
      <w:marTop w:val="0"/>
      <w:marBottom w:val="0"/>
      <w:divBdr>
        <w:top w:val="none" w:sz="0" w:space="0" w:color="auto"/>
        <w:left w:val="none" w:sz="0" w:space="0" w:color="auto"/>
        <w:bottom w:val="none" w:sz="0" w:space="0" w:color="auto"/>
        <w:right w:val="none" w:sz="0" w:space="0" w:color="auto"/>
      </w:divBdr>
    </w:div>
    <w:div w:id="43527250">
      <w:bodyDiv w:val="1"/>
      <w:marLeft w:val="0"/>
      <w:marRight w:val="0"/>
      <w:marTop w:val="0"/>
      <w:marBottom w:val="0"/>
      <w:divBdr>
        <w:top w:val="none" w:sz="0" w:space="0" w:color="auto"/>
        <w:left w:val="none" w:sz="0" w:space="0" w:color="auto"/>
        <w:bottom w:val="none" w:sz="0" w:space="0" w:color="auto"/>
        <w:right w:val="none" w:sz="0" w:space="0" w:color="auto"/>
      </w:divBdr>
    </w:div>
    <w:div w:id="45764143">
      <w:bodyDiv w:val="1"/>
      <w:marLeft w:val="0"/>
      <w:marRight w:val="0"/>
      <w:marTop w:val="0"/>
      <w:marBottom w:val="0"/>
      <w:divBdr>
        <w:top w:val="none" w:sz="0" w:space="0" w:color="auto"/>
        <w:left w:val="none" w:sz="0" w:space="0" w:color="auto"/>
        <w:bottom w:val="none" w:sz="0" w:space="0" w:color="auto"/>
        <w:right w:val="none" w:sz="0" w:space="0" w:color="auto"/>
      </w:divBdr>
    </w:div>
    <w:div w:id="50420181">
      <w:bodyDiv w:val="1"/>
      <w:marLeft w:val="0"/>
      <w:marRight w:val="0"/>
      <w:marTop w:val="0"/>
      <w:marBottom w:val="0"/>
      <w:divBdr>
        <w:top w:val="none" w:sz="0" w:space="0" w:color="auto"/>
        <w:left w:val="none" w:sz="0" w:space="0" w:color="auto"/>
        <w:bottom w:val="none" w:sz="0" w:space="0" w:color="auto"/>
        <w:right w:val="none" w:sz="0" w:space="0" w:color="auto"/>
      </w:divBdr>
    </w:div>
    <w:div w:id="55323774">
      <w:bodyDiv w:val="1"/>
      <w:marLeft w:val="0"/>
      <w:marRight w:val="0"/>
      <w:marTop w:val="0"/>
      <w:marBottom w:val="0"/>
      <w:divBdr>
        <w:top w:val="none" w:sz="0" w:space="0" w:color="auto"/>
        <w:left w:val="none" w:sz="0" w:space="0" w:color="auto"/>
        <w:bottom w:val="none" w:sz="0" w:space="0" w:color="auto"/>
        <w:right w:val="none" w:sz="0" w:space="0" w:color="auto"/>
      </w:divBdr>
    </w:div>
    <w:div w:id="65538235">
      <w:bodyDiv w:val="1"/>
      <w:marLeft w:val="0"/>
      <w:marRight w:val="0"/>
      <w:marTop w:val="0"/>
      <w:marBottom w:val="0"/>
      <w:divBdr>
        <w:top w:val="none" w:sz="0" w:space="0" w:color="auto"/>
        <w:left w:val="none" w:sz="0" w:space="0" w:color="auto"/>
        <w:bottom w:val="none" w:sz="0" w:space="0" w:color="auto"/>
        <w:right w:val="none" w:sz="0" w:space="0" w:color="auto"/>
      </w:divBdr>
    </w:div>
    <w:div w:id="66074348">
      <w:bodyDiv w:val="1"/>
      <w:marLeft w:val="0"/>
      <w:marRight w:val="0"/>
      <w:marTop w:val="0"/>
      <w:marBottom w:val="0"/>
      <w:divBdr>
        <w:top w:val="none" w:sz="0" w:space="0" w:color="auto"/>
        <w:left w:val="none" w:sz="0" w:space="0" w:color="auto"/>
        <w:bottom w:val="none" w:sz="0" w:space="0" w:color="auto"/>
        <w:right w:val="none" w:sz="0" w:space="0" w:color="auto"/>
      </w:divBdr>
    </w:div>
    <w:div w:id="69158500">
      <w:bodyDiv w:val="1"/>
      <w:marLeft w:val="0"/>
      <w:marRight w:val="0"/>
      <w:marTop w:val="0"/>
      <w:marBottom w:val="0"/>
      <w:divBdr>
        <w:top w:val="none" w:sz="0" w:space="0" w:color="auto"/>
        <w:left w:val="none" w:sz="0" w:space="0" w:color="auto"/>
        <w:bottom w:val="none" w:sz="0" w:space="0" w:color="auto"/>
        <w:right w:val="none" w:sz="0" w:space="0" w:color="auto"/>
      </w:divBdr>
    </w:div>
    <w:div w:id="70083514">
      <w:bodyDiv w:val="1"/>
      <w:marLeft w:val="0"/>
      <w:marRight w:val="0"/>
      <w:marTop w:val="0"/>
      <w:marBottom w:val="0"/>
      <w:divBdr>
        <w:top w:val="none" w:sz="0" w:space="0" w:color="auto"/>
        <w:left w:val="none" w:sz="0" w:space="0" w:color="auto"/>
        <w:bottom w:val="none" w:sz="0" w:space="0" w:color="auto"/>
        <w:right w:val="none" w:sz="0" w:space="0" w:color="auto"/>
      </w:divBdr>
    </w:div>
    <w:div w:id="78184899">
      <w:bodyDiv w:val="1"/>
      <w:marLeft w:val="0"/>
      <w:marRight w:val="0"/>
      <w:marTop w:val="0"/>
      <w:marBottom w:val="0"/>
      <w:divBdr>
        <w:top w:val="none" w:sz="0" w:space="0" w:color="auto"/>
        <w:left w:val="none" w:sz="0" w:space="0" w:color="auto"/>
        <w:bottom w:val="none" w:sz="0" w:space="0" w:color="auto"/>
        <w:right w:val="none" w:sz="0" w:space="0" w:color="auto"/>
      </w:divBdr>
    </w:div>
    <w:div w:id="86732905">
      <w:bodyDiv w:val="1"/>
      <w:marLeft w:val="0"/>
      <w:marRight w:val="0"/>
      <w:marTop w:val="0"/>
      <w:marBottom w:val="0"/>
      <w:divBdr>
        <w:top w:val="none" w:sz="0" w:space="0" w:color="auto"/>
        <w:left w:val="none" w:sz="0" w:space="0" w:color="auto"/>
        <w:bottom w:val="none" w:sz="0" w:space="0" w:color="auto"/>
        <w:right w:val="none" w:sz="0" w:space="0" w:color="auto"/>
      </w:divBdr>
    </w:div>
    <w:div w:id="90667670">
      <w:bodyDiv w:val="1"/>
      <w:marLeft w:val="0"/>
      <w:marRight w:val="0"/>
      <w:marTop w:val="0"/>
      <w:marBottom w:val="0"/>
      <w:divBdr>
        <w:top w:val="none" w:sz="0" w:space="0" w:color="auto"/>
        <w:left w:val="none" w:sz="0" w:space="0" w:color="auto"/>
        <w:bottom w:val="none" w:sz="0" w:space="0" w:color="auto"/>
        <w:right w:val="none" w:sz="0" w:space="0" w:color="auto"/>
      </w:divBdr>
    </w:div>
    <w:div w:id="101533350">
      <w:bodyDiv w:val="1"/>
      <w:marLeft w:val="0"/>
      <w:marRight w:val="0"/>
      <w:marTop w:val="0"/>
      <w:marBottom w:val="0"/>
      <w:divBdr>
        <w:top w:val="none" w:sz="0" w:space="0" w:color="auto"/>
        <w:left w:val="none" w:sz="0" w:space="0" w:color="auto"/>
        <w:bottom w:val="none" w:sz="0" w:space="0" w:color="auto"/>
        <w:right w:val="none" w:sz="0" w:space="0" w:color="auto"/>
      </w:divBdr>
    </w:div>
    <w:div w:id="103306105">
      <w:bodyDiv w:val="1"/>
      <w:marLeft w:val="0"/>
      <w:marRight w:val="0"/>
      <w:marTop w:val="0"/>
      <w:marBottom w:val="0"/>
      <w:divBdr>
        <w:top w:val="none" w:sz="0" w:space="0" w:color="auto"/>
        <w:left w:val="none" w:sz="0" w:space="0" w:color="auto"/>
        <w:bottom w:val="none" w:sz="0" w:space="0" w:color="auto"/>
        <w:right w:val="none" w:sz="0" w:space="0" w:color="auto"/>
      </w:divBdr>
    </w:div>
    <w:div w:id="104076989">
      <w:bodyDiv w:val="1"/>
      <w:marLeft w:val="0"/>
      <w:marRight w:val="0"/>
      <w:marTop w:val="0"/>
      <w:marBottom w:val="0"/>
      <w:divBdr>
        <w:top w:val="none" w:sz="0" w:space="0" w:color="auto"/>
        <w:left w:val="none" w:sz="0" w:space="0" w:color="auto"/>
        <w:bottom w:val="none" w:sz="0" w:space="0" w:color="auto"/>
        <w:right w:val="none" w:sz="0" w:space="0" w:color="auto"/>
      </w:divBdr>
    </w:div>
    <w:div w:id="106775544">
      <w:bodyDiv w:val="1"/>
      <w:marLeft w:val="0"/>
      <w:marRight w:val="0"/>
      <w:marTop w:val="0"/>
      <w:marBottom w:val="0"/>
      <w:divBdr>
        <w:top w:val="none" w:sz="0" w:space="0" w:color="auto"/>
        <w:left w:val="none" w:sz="0" w:space="0" w:color="auto"/>
        <w:bottom w:val="none" w:sz="0" w:space="0" w:color="auto"/>
        <w:right w:val="none" w:sz="0" w:space="0" w:color="auto"/>
      </w:divBdr>
    </w:div>
    <w:div w:id="109981928">
      <w:bodyDiv w:val="1"/>
      <w:marLeft w:val="0"/>
      <w:marRight w:val="0"/>
      <w:marTop w:val="0"/>
      <w:marBottom w:val="0"/>
      <w:divBdr>
        <w:top w:val="none" w:sz="0" w:space="0" w:color="auto"/>
        <w:left w:val="none" w:sz="0" w:space="0" w:color="auto"/>
        <w:bottom w:val="none" w:sz="0" w:space="0" w:color="auto"/>
        <w:right w:val="none" w:sz="0" w:space="0" w:color="auto"/>
      </w:divBdr>
    </w:div>
    <w:div w:id="117770207">
      <w:bodyDiv w:val="1"/>
      <w:marLeft w:val="0"/>
      <w:marRight w:val="0"/>
      <w:marTop w:val="0"/>
      <w:marBottom w:val="0"/>
      <w:divBdr>
        <w:top w:val="none" w:sz="0" w:space="0" w:color="auto"/>
        <w:left w:val="none" w:sz="0" w:space="0" w:color="auto"/>
        <w:bottom w:val="none" w:sz="0" w:space="0" w:color="auto"/>
        <w:right w:val="none" w:sz="0" w:space="0" w:color="auto"/>
      </w:divBdr>
    </w:div>
    <w:div w:id="117771042">
      <w:bodyDiv w:val="1"/>
      <w:marLeft w:val="0"/>
      <w:marRight w:val="0"/>
      <w:marTop w:val="0"/>
      <w:marBottom w:val="0"/>
      <w:divBdr>
        <w:top w:val="none" w:sz="0" w:space="0" w:color="auto"/>
        <w:left w:val="none" w:sz="0" w:space="0" w:color="auto"/>
        <w:bottom w:val="none" w:sz="0" w:space="0" w:color="auto"/>
        <w:right w:val="none" w:sz="0" w:space="0" w:color="auto"/>
      </w:divBdr>
    </w:div>
    <w:div w:id="121770403">
      <w:bodyDiv w:val="1"/>
      <w:marLeft w:val="0"/>
      <w:marRight w:val="0"/>
      <w:marTop w:val="0"/>
      <w:marBottom w:val="0"/>
      <w:divBdr>
        <w:top w:val="none" w:sz="0" w:space="0" w:color="auto"/>
        <w:left w:val="none" w:sz="0" w:space="0" w:color="auto"/>
        <w:bottom w:val="none" w:sz="0" w:space="0" w:color="auto"/>
        <w:right w:val="none" w:sz="0" w:space="0" w:color="auto"/>
      </w:divBdr>
    </w:div>
    <w:div w:id="123888145">
      <w:bodyDiv w:val="1"/>
      <w:marLeft w:val="0"/>
      <w:marRight w:val="0"/>
      <w:marTop w:val="0"/>
      <w:marBottom w:val="0"/>
      <w:divBdr>
        <w:top w:val="none" w:sz="0" w:space="0" w:color="auto"/>
        <w:left w:val="none" w:sz="0" w:space="0" w:color="auto"/>
        <w:bottom w:val="none" w:sz="0" w:space="0" w:color="auto"/>
        <w:right w:val="none" w:sz="0" w:space="0" w:color="auto"/>
      </w:divBdr>
    </w:div>
    <w:div w:id="137303174">
      <w:bodyDiv w:val="1"/>
      <w:marLeft w:val="0"/>
      <w:marRight w:val="0"/>
      <w:marTop w:val="0"/>
      <w:marBottom w:val="0"/>
      <w:divBdr>
        <w:top w:val="none" w:sz="0" w:space="0" w:color="auto"/>
        <w:left w:val="none" w:sz="0" w:space="0" w:color="auto"/>
        <w:bottom w:val="none" w:sz="0" w:space="0" w:color="auto"/>
        <w:right w:val="none" w:sz="0" w:space="0" w:color="auto"/>
      </w:divBdr>
    </w:div>
    <w:div w:id="141703185">
      <w:bodyDiv w:val="1"/>
      <w:marLeft w:val="0"/>
      <w:marRight w:val="0"/>
      <w:marTop w:val="0"/>
      <w:marBottom w:val="0"/>
      <w:divBdr>
        <w:top w:val="none" w:sz="0" w:space="0" w:color="auto"/>
        <w:left w:val="none" w:sz="0" w:space="0" w:color="auto"/>
        <w:bottom w:val="none" w:sz="0" w:space="0" w:color="auto"/>
        <w:right w:val="none" w:sz="0" w:space="0" w:color="auto"/>
      </w:divBdr>
    </w:div>
    <w:div w:id="146484920">
      <w:bodyDiv w:val="1"/>
      <w:marLeft w:val="0"/>
      <w:marRight w:val="0"/>
      <w:marTop w:val="0"/>
      <w:marBottom w:val="0"/>
      <w:divBdr>
        <w:top w:val="none" w:sz="0" w:space="0" w:color="auto"/>
        <w:left w:val="none" w:sz="0" w:space="0" w:color="auto"/>
        <w:bottom w:val="none" w:sz="0" w:space="0" w:color="auto"/>
        <w:right w:val="none" w:sz="0" w:space="0" w:color="auto"/>
      </w:divBdr>
    </w:div>
    <w:div w:id="151142367">
      <w:bodyDiv w:val="1"/>
      <w:marLeft w:val="0"/>
      <w:marRight w:val="0"/>
      <w:marTop w:val="0"/>
      <w:marBottom w:val="0"/>
      <w:divBdr>
        <w:top w:val="none" w:sz="0" w:space="0" w:color="auto"/>
        <w:left w:val="none" w:sz="0" w:space="0" w:color="auto"/>
        <w:bottom w:val="none" w:sz="0" w:space="0" w:color="auto"/>
        <w:right w:val="none" w:sz="0" w:space="0" w:color="auto"/>
      </w:divBdr>
    </w:div>
    <w:div w:id="153421808">
      <w:bodyDiv w:val="1"/>
      <w:marLeft w:val="0"/>
      <w:marRight w:val="0"/>
      <w:marTop w:val="0"/>
      <w:marBottom w:val="0"/>
      <w:divBdr>
        <w:top w:val="none" w:sz="0" w:space="0" w:color="auto"/>
        <w:left w:val="none" w:sz="0" w:space="0" w:color="auto"/>
        <w:bottom w:val="none" w:sz="0" w:space="0" w:color="auto"/>
        <w:right w:val="none" w:sz="0" w:space="0" w:color="auto"/>
      </w:divBdr>
    </w:div>
    <w:div w:id="162018774">
      <w:bodyDiv w:val="1"/>
      <w:marLeft w:val="0"/>
      <w:marRight w:val="0"/>
      <w:marTop w:val="0"/>
      <w:marBottom w:val="0"/>
      <w:divBdr>
        <w:top w:val="none" w:sz="0" w:space="0" w:color="auto"/>
        <w:left w:val="none" w:sz="0" w:space="0" w:color="auto"/>
        <w:bottom w:val="none" w:sz="0" w:space="0" w:color="auto"/>
        <w:right w:val="none" w:sz="0" w:space="0" w:color="auto"/>
      </w:divBdr>
    </w:div>
    <w:div w:id="163907777">
      <w:bodyDiv w:val="1"/>
      <w:marLeft w:val="0"/>
      <w:marRight w:val="0"/>
      <w:marTop w:val="0"/>
      <w:marBottom w:val="0"/>
      <w:divBdr>
        <w:top w:val="none" w:sz="0" w:space="0" w:color="auto"/>
        <w:left w:val="none" w:sz="0" w:space="0" w:color="auto"/>
        <w:bottom w:val="none" w:sz="0" w:space="0" w:color="auto"/>
        <w:right w:val="none" w:sz="0" w:space="0" w:color="auto"/>
      </w:divBdr>
    </w:div>
    <w:div w:id="194079952">
      <w:bodyDiv w:val="1"/>
      <w:marLeft w:val="0"/>
      <w:marRight w:val="0"/>
      <w:marTop w:val="0"/>
      <w:marBottom w:val="0"/>
      <w:divBdr>
        <w:top w:val="none" w:sz="0" w:space="0" w:color="auto"/>
        <w:left w:val="none" w:sz="0" w:space="0" w:color="auto"/>
        <w:bottom w:val="none" w:sz="0" w:space="0" w:color="auto"/>
        <w:right w:val="none" w:sz="0" w:space="0" w:color="auto"/>
      </w:divBdr>
    </w:div>
    <w:div w:id="195045534">
      <w:bodyDiv w:val="1"/>
      <w:marLeft w:val="0"/>
      <w:marRight w:val="0"/>
      <w:marTop w:val="0"/>
      <w:marBottom w:val="0"/>
      <w:divBdr>
        <w:top w:val="none" w:sz="0" w:space="0" w:color="auto"/>
        <w:left w:val="none" w:sz="0" w:space="0" w:color="auto"/>
        <w:bottom w:val="none" w:sz="0" w:space="0" w:color="auto"/>
        <w:right w:val="none" w:sz="0" w:space="0" w:color="auto"/>
      </w:divBdr>
    </w:div>
    <w:div w:id="205988973">
      <w:bodyDiv w:val="1"/>
      <w:marLeft w:val="0"/>
      <w:marRight w:val="0"/>
      <w:marTop w:val="0"/>
      <w:marBottom w:val="0"/>
      <w:divBdr>
        <w:top w:val="none" w:sz="0" w:space="0" w:color="auto"/>
        <w:left w:val="none" w:sz="0" w:space="0" w:color="auto"/>
        <w:bottom w:val="none" w:sz="0" w:space="0" w:color="auto"/>
        <w:right w:val="none" w:sz="0" w:space="0" w:color="auto"/>
      </w:divBdr>
    </w:div>
    <w:div w:id="233130694">
      <w:bodyDiv w:val="1"/>
      <w:marLeft w:val="0"/>
      <w:marRight w:val="0"/>
      <w:marTop w:val="0"/>
      <w:marBottom w:val="0"/>
      <w:divBdr>
        <w:top w:val="none" w:sz="0" w:space="0" w:color="auto"/>
        <w:left w:val="none" w:sz="0" w:space="0" w:color="auto"/>
        <w:bottom w:val="none" w:sz="0" w:space="0" w:color="auto"/>
        <w:right w:val="none" w:sz="0" w:space="0" w:color="auto"/>
      </w:divBdr>
    </w:div>
    <w:div w:id="244652108">
      <w:bodyDiv w:val="1"/>
      <w:marLeft w:val="0"/>
      <w:marRight w:val="0"/>
      <w:marTop w:val="0"/>
      <w:marBottom w:val="0"/>
      <w:divBdr>
        <w:top w:val="none" w:sz="0" w:space="0" w:color="auto"/>
        <w:left w:val="none" w:sz="0" w:space="0" w:color="auto"/>
        <w:bottom w:val="none" w:sz="0" w:space="0" w:color="auto"/>
        <w:right w:val="none" w:sz="0" w:space="0" w:color="auto"/>
      </w:divBdr>
    </w:div>
    <w:div w:id="276986852">
      <w:bodyDiv w:val="1"/>
      <w:marLeft w:val="0"/>
      <w:marRight w:val="0"/>
      <w:marTop w:val="0"/>
      <w:marBottom w:val="0"/>
      <w:divBdr>
        <w:top w:val="none" w:sz="0" w:space="0" w:color="auto"/>
        <w:left w:val="none" w:sz="0" w:space="0" w:color="auto"/>
        <w:bottom w:val="none" w:sz="0" w:space="0" w:color="auto"/>
        <w:right w:val="none" w:sz="0" w:space="0" w:color="auto"/>
      </w:divBdr>
    </w:div>
    <w:div w:id="289554216">
      <w:bodyDiv w:val="1"/>
      <w:marLeft w:val="0"/>
      <w:marRight w:val="0"/>
      <w:marTop w:val="0"/>
      <w:marBottom w:val="0"/>
      <w:divBdr>
        <w:top w:val="none" w:sz="0" w:space="0" w:color="auto"/>
        <w:left w:val="none" w:sz="0" w:space="0" w:color="auto"/>
        <w:bottom w:val="none" w:sz="0" w:space="0" w:color="auto"/>
        <w:right w:val="none" w:sz="0" w:space="0" w:color="auto"/>
      </w:divBdr>
    </w:div>
    <w:div w:id="291719279">
      <w:bodyDiv w:val="1"/>
      <w:marLeft w:val="0"/>
      <w:marRight w:val="0"/>
      <w:marTop w:val="0"/>
      <w:marBottom w:val="0"/>
      <w:divBdr>
        <w:top w:val="none" w:sz="0" w:space="0" w:color="auto"/>
        <w:left w:val="none" w:sz="0" w:space="0" w:color="auto"/>
        <w:bottom w:val="none" w:sz="0" w:space="0" w:color="auto"/>
        <w:right w:val="none" w:sz="0" w:space="0" w:color="auto"/>
      </w:divBdr>
    </w:div>
    <w:div w:id="305162398">
      <w:bodyDiv w:val="1"/>
      <w:marLeft w:val="0"/>
      <w:marRight w:val="0"/>
      <w:marTop w:val="0"/>
      <w:marBottom w:val="0"/>
      <w:divBdr>
        <w:top w:val="none" w:sz="0" w:space="0" w:color="auto"/>
        <w:left w:val="none" w:sz="0" w:space="0" w:color="auto"/>
        <w:bottom w:val="none" w:sz="0" w:space="0" w:color="auto"/>
        <w:right w:val="none" w:sz="0" w:space="0" w:color="auto"/>
      </w:divBdr>
    </w:div>
    <w:div w:id="311983515">
      <w:bodyDiv w:val="1"/>
      <w:marLeft w:val="0"/>
      <w:marRight w:val="0"/>
      <w:marTop w:val="0"/>
      <w:marBottom w:val="0"/>
      <w:divBdr>
        <w:top w:val="none" w:sz="0" w:space="0" w:color="auto"/>
        <w:left w:val="none" w:sz="0" w:space="0" w:color="auto"/>
        <w:bottom w:val="none" w:sz="0" w:space="0" w:color="auto"/>
        <w:right w:val="none" w:sz="0" w:space="0" w:color="auto"/>
      </w:divBdr>
    </w:div>
    <w:div w:id="324210009">
      <w:bodyDiv w:val="1"/>
      <w:marLeft w:val="0"/>
      <w:marRight w:val="0"/>
      <w:marTop w:val="0"/>
      <w:marBottom w:val="0"/>
      <w:divBdr>
        <w:top w:val="none" w:sz="0" w:space="0" w:color="auto"/>
        <w:left w:val="none" w:sz="0" w:space="0" w:color="auto"/>
        <w:bottom w:val="none" w:sz="0" w:space="0" w:color="auto"/>
        <w:right w:val="none" w:sz="0" w:space="0" w:color="auto"/>
      </w:divBdr>
    </w:div>
    <w:div w:id="342316912">
      <w:bodyDiv w:val="1"/>
      <w:marLeft w:val="0"/>
      <w:marRight w:val="0"/>
      <w:marTop w:val="0"/>
      <w:marBottom w:val="0"/>
      <w:divBdr>
        <w:top w:val="none" w:sz="0" w:space="0" w:color="auto"/>
        <w:left w:val="none" w:sz="0" w:space="0" w:color="auto"/>
        <w:bottom w:val="none" w:sz="0" w:space="0" w:color="auto"/>
        <w:right w:val="none" w:sz="0" w:space="0" w:color="auto"/>
      </w:divBdr>
    </w:div>
    <w:div w:id="350380985">
      <w:bodyDiv w:val="1"/>
      <w:marLeft w:val="0"/>
      <w:marRight w:val="0"/>
      <w:marTop w:val="0"/>
      <w:marBottom w:val="0"/>
      <w:divBdr>
        <w:top w:val="none" w:sz="0" w:space="0" w:color="auto"/>
        <w:left w:val="none" w:sz="0" w:space="0" w:color="auto"/>
        <w:bottom w:val="none" w:sz="0" w:space="0" w:color="auto"/>
        <w:right w:val="none" w:sz="0" w:space="0" w:color="auto"/>
      </w:divBdr>
    </w:div>
    <w:div w:id="358555937">
      <w:bodyDiv w:val="1"/>
      <w:marLeft w:val="0"/>
      <w:marRight w:val="0"/>
      <w:marTop w:val="0"/>
      <w:marBottom w:val="0"/>
      <w:divBdr>
        <w:top w:val="none" w:sz="0" w:space="0" w:color="auto"/>
        <w:left w:val="none" w:sz="0" w:space="0" w:color="auto"/>
        <w:bottom w:val="none" w:sz="0" w:space="0" w:color="auto"/>
        <w:right w:val="none" w:sz="0" w:space="0" w:color="auto"/>
      </w:divBdr>
    </w:div>
    <w:div w:id="359018227">
      <w:bodyDiv w:val="1"/>
      <w:marLeft w:val="0"/>
      <w:marRight w:val="0"/>
      <w:marTop w:val="0"/>
      <w:marBottom w:val="0"/>
      <w:divBdr>
        <w:top w:val="none" w:sz="0" w:space="0" w:color="auto"/>
        <w:left w:val="none" w:sz="0" w:space="0" w:color="auto"/>
        <w:bottom w:val="none" w:sz="0" w:space="0" w:color="auto"/>
        <w:right w:val="none" w:sz="0" w:space="0" w:color="auto"/>
      </w:divBdr>
    </w:div>
    <w:div w:id="362901544">
      <w:bodyDiv w:val="1"/>
      <w:marLeft w:val="0"/>
      <w:marRight w:val="0"/>
      <w:marTop w:val="0"/>
      <w:marBottom w:val="0"/>
      <w:divBdr>
        <w:top w:val="none" w:sz="0" w:space="0" w:color="auto"/>
        <w:left w:val="none" w:sz="0" w:space="0" w:color="auto"/>
        <w:bottom w:val="none" w:sz="0" w:space="0" w:color="auto"/>
        <w:right w:val="none" w:sz="0" w:space="0" w:color="auto"/>
      </w:divBdr>
    </w:div>
    <w:div w:id="366180298">
      <w:bodyDiv w:val="1"/>
      <w:marLeft w:val="0"/>
      <w:marRight w:val="0"/>
      <w:marTop w:val="0"/>
      <w:marBottom w:val="0"/>
      <w:divBdr>
        <w:top w:val="none" w:sz="0" w:space="0" w:color="auto"/>
        <w:left w:val="none" w:sz="0" w:space="0" w:color="auto"/>
        <w:bottom w:val="none" w:sz="0" w:space="0" w:color="auto"/>
        <w:right w:val="none" w:sz="0" w:space="0" w:color="auto"/>
      </w:divBdr>
    </w:div>
    <w:div w:id="367266358">
      <w:bodyDiv w:val="1"/>
      <w:marLeft w:val="0"/>
      <w:marRight w:val="0"/>
      <w:marTop w:val="0"/>
      <w:marBottom w:val="0"/>
      <w:divBdr>
        <w:top w:val="none" w:sz="0" w:space="0" w:color="auto"/>
        <w:left w:val="none" w:sz="0" w:space="0" w:color="auto"/>
        <w:bottom w:val="none" w:sz="0" w:space="0" w:color="auto"/>
        <w:right w:val="none" w:sz="0" w:space="0" w:color="auto"/>
      </w:divBdr>
    </w:div>
    <w:div w:id="374933278">
      <w:bodyDiv w:val="1"/>
      <w:marLeft w:val="0"/>
      <w:marRight w:val="0"/>
      <w:marTop w:val="0"/>
      <w:marBottom w:val="0"/>
      <w:divBdr>
        <w:top w:val="none" w:sz="0" w:space="0" w:color="auto"/>
        <w:left w:val="none" w:sz="0" w:space="0" w:color="auto"/>
        <w:bottom w:val="none" w:sz="0" w:space="0" w:color="auto"/>
        <w:right w:val="none" w:sz="0" w:space="0" w:color="auto"/>
      </w:divBdr>
    </w:div>
    <w:div w:id="399408286">
      <w:bodyDiv w:val="1"/>
      <w:marLeft w:val="0"/>
      <w:marRight w:val="0"/>
      <w:marTop w:val="0"/>
      <w:marBottom w:val="0"/>
      <w:divBdr>
        <w:top w:val="none" w:sz="0" w:space="0" w:color="auto"/>
        <w:left w:val="none" w:sz="0" w:space="0" w:color="auto"/>
        <w:bottom w:val="none" w:sz="0" w:space="0" w:color="auto"/>
        <w:right w:val="none" w:sz="0" w:space="0" w:color="auto"/>
      </w:divBdr>
    </w:div>
    <w:div w:id="400180028">
      <w:bodyDiv w:val="1"/>
      <w:marLeft w:val="0"/>
      <w:marRight w:val="0"/>
      <w:marTop w:val="0"/>
      <w:marBottom w:val="0"/>
      <w:divBdr>
        <w:top w:val="none" w:sz="0" w:space="0" w:color="auto"/>
        <w:left w:val="none" w:sz="0" w:space="0" w:color="auto"/>
        <w:bottom w:val="none" w:sz="0" w:space="0" w:color="auto"/>
        <w:right w:val="none" w:sz="0" w:space="0" w:color="auto"/>
      </w:divBdr>
    </w:div>
    <w:div w:id="402023854">
      <w:bodyDiv w:val="1"/>
      <w:marLeft w:val="0"/>
      <w:marRight w:val="0"/>
      <w:marTop w:val="0"/>
      <w:marBottom w:val="0"/>
      <w:divBdr>
        <w:top w:val="none" w:sz="0" w:space="0" w:color="auto"/>
        <w:left w:val="none" w:sz="0" w:space="0" w:color="auto"/>
        <w:bottom w:val="none" w:sz="0" w:space="0" w:color="auto"/>
        <w:right w:val="none" w:sz="0" w:space="0" w:color="auto"/>
      </w:divBdr>
    </w:div>
    <w:div w:id="425464732">
      <w:bodyDiv w:val="1"/>
      <w:marLeft w:val="0"/>
      <w:marRight w:val="0"/>
      <w:marTop w:val="0"/>
      <w:marBottom w:val="0"/>
      <w:divBdr>
        <w:top w:val="none" w:sz="0" w:space="0" w:color="auto"/>
        <w:left w:val="none" w:sz="0" w:space="0" w:color="auto"/>
        <w:bottom w:val="none" w:sz="0" w:space="0" w:color="auto"/>
        <w:right w:val="none" w:sz="0" w:space="0" w:color="auto"/>
      </w:divBdr>
    </w:div>
    <w:div w:id="432866770">
      <w:bodyDiv w:val="1"/>
      <w:marLeft w:val="0"/>
      <w:marRight w:val="0"/>
      <w:marTop w:val="0"/>
      <w:marBottom w:val="0"/>
      <w:divBdr>
        <w:top w:val="none" w:sz="0" w:space="0" w:color="auto"/>
        <w:left w:val="none" w:sz="0" w:space="0" w:color="auto"/>
        <w:bottom w:val="none" w:sz="0" w:space="0" w:color="auto"/>
        <w:right w:val="none" w:sz="0" w:space="0" w:color="auto"/>
      </w:divBdr>
    </w:div>
    <w:div w:id="446315691">
      <w:bodyDiv w:val="1"/>
      <w:marLeft w:val="0"/>
      <w:marRight w:val="0"/>
      <w:marTop w:val="0"/>
      <w:marBottom w:val="0"/>
      <w:divBdr>
        <w:top w:val="none" w:sz="0" w:space="0" w:color="auto"/>
        <w:left w:val="none" w:sz="0" w:space="0" w:color="auto"/>
        <w:bottom w:val="none" w:sz="0" w:space="0" w:color="auto"/>
        <w:right w:val="none" w:sz="0" w:space="0" w:color="auto"/>
      </w:divBdr>
    </w:div>
    <w:div w:id="467478614">
      <w:bodyDiv w:val="1"/>
      <w:marLeft w:val="0"/>
      <w:marRight w:val="0"/>
      <w:marTop w:val="0"/>
      <w:marBottom w:val="0"/>
      <w:divBdr>
        <w:top w:val="none" w:sz="0" w:space="0" w:color="auto"/>
        <w:left w:val="none" w:sz="0" w:space="0" w:color="auto"/>
        <w:bottom w:val="none" w:sz="0" w:space="0" w:color="auto"/>
        <w:right w:val="none" w:sz="0" w:space="0" w:color="auto"/>
      </w:divBdr>
    </w:div>
    <w:div w:id="469520691">
      <w:bodyDiv w:val="1"/>
      <w:marLeft w:val="0"/>
      <w:marRight w:val="0"/>
      <w:marTop w:val="0"/>
      <w:marBottom w:val="0"/>
      <w:divBdr>
        <w:top w:val="none" w:sz="0" w:space="0" w:color="auto"/>
        <w:left w:val="none" w:sz="0" w:space="0" w:color="auto"/>
        <w:bottom w:val="none" w:sz="0" w:space="0" w:color="auto"/>
        <w:right w:val="none" w:sz="0" w:space="0" w:color="auto"/>
      </w:divBdr>
    </w:div>
    <w:div w:id="470555617">
      <w:bodyDiv w:val="1"/>
      <w:marLeft w:val="0"/>
      <w:marRight w:val="0"/>
      <w:marTop w:val="0"/>
      <w:marBottom w:val="0"/>
      <w:divBdr>
        <w:top w:val="none" w:sz="0" w:space="0" w:color="auto"/>
        <w:left w:val="none" w:sz="0" w:space="0" w:color="auto"/>
        <w:bottom w:val="none" w:sz="0" w:space="0" w:color="auto"/>
        <w:right w:val="none" w:sz="0" w:space="0" w:color="auto"/>
      </w:divBdr>
    </w:div>
    <w:div w:id="477380730">
      <w:bodyDiv w:val="1"/>
      <w:marLeft w:val="0"/>
      <w:marRight w:val="0"/>
      <w:marTop w:val="0"/>
      <w:marBottom w:val="0"/>
      <w:divBdr>
        <w:top w:val="none" w:sz="0" w:space="0" w:color="auto"/>
        <w:left w:val="none" w:sz="0" w:space="0" w:color="auto"/>
        <w:bottom w:val="none" w:sz="0" w:space="0" w:color="auto"/>
        <w:right w:val="none" w:sz="0" w:space="0" w:color="auto"/>
      </w:divBdr>
    </w:div>
    <w:div w:id="484132512">
      <w:bodyDiv w:val="1"/>
      <w:marLeft w:val="0"/>
      <w:marRight w:val="0"/>
      <w:marTop w:val="0"/>
      <w:marBottom w:val="0"/>
      <w:divBdr>
        <w:top w:val="none" w:sz="0" w:space="0" w:color="auto"/>
        <w:left w:val="none" w:sz="0" w:space="0" w:color="auto"/>
        <w:bottom w:val="none" w:sz="0" w:space="0" w:color="auto"/>
        <w:right w:val="none" w:sz="0" w:space="0" w:color="auto"/>
      </w:divBdr>
    </w:div>
    <w:div w:id="489173938">
      <w:bodyDiv w:val="1"/>
      <w:marLeft w:val="0"/>
      <w:marRight w:val="0"/>
      <w:marTop w:val="0"/>
      <w:marBottom w:val="0"/>
      <w:divBdr>
        <w:top w:val="none" w:sz="0" w:space="0" w:color="auto"/>
        <w:left w:val="none" w:sz="0" w:space="0" w:color="auto"/>
        <w:bottom w:val="none" w:sz="0" w:space="0" w:color="auto"/>
        <w:right w:val="none" w:sz="0" w:space="0" w:color="auto"/>
      </w:divBdr>
    </w:div>
    <w:div w:id="517355677">
      <w:bodyDiv w:val="1"/>
      <w:marLeft w:val="0"/>
      <w:marRight w:val="0"/>
      <w:marTop w:val="0"/>
      <w:marBottom w:val="0"/>
      <w:divBdr>
        <w:top w:val="none" w:sz="0" w:space="0" w:color="auto"/>
        <w:left w:val="none" w:sz="0" w:space="0" w:color="auto"/>
        <w:bottom w:val="none" w:sz="0" w:space="0" w:color="auto"/>
        <w:right w:val="none" w:sz="0" w:space="0" w:color="auto"/>
      </w:divBdr>
    </w:div>
    <w:div w:id="520749523">
      <w:bodyDiv w:val="1"/>
      <w:marLeft w:val="0"/>
      <w:marRight w:val="0"/>
      <w:marTop w:val="0"/>
      <w:marBottom w:val="0"/>
      <w:divBdr>
        <w:top w:val="none" w:sz="0" w:space="0" w:color="auto"/>
        <w:left w:val="none" w:sz="0" w:space="0" w:color="auto"/>
        <w:bottom w:val="none" w:sz="0" w:space="0" w:color="auto"/>
        <w:right w:val="none" w:sz="0" w:space="0" w:color="auto"/>
      </w:divBdr>
    </w:div>
    <w:div w:id="525562778">
      <w:bodyDiv w:val="1"/>
      <w:marLeft w:val="0"/>
      <w:marRight w:val="0"/>
      <w:marTop w:val="0"/>
      <w:marBottom w:val="0"/>
      <w:divBdr>
        <w:top w:val="none" w:sz="0" w:space="0" w:color="auto"/>
        <w:left w:val="none" w:sz="0" w:space="0" w:color="auto"/>
        <w:bottom w:val="none" w:sz="0" w:space="0" w:color="auto"/>
        <w:right w:val="none" w:sz="0" w:space="0" w:color="auto"/>
      </w:divBdr>
    </w:div>
    <w:div w:id="539829567">
      <w:bodyDiv w:val="1"/>
      <w:marLeft w:val="0"/>
      <w:marRight w:val="0"/>
      <w:marTop w:val="0"/>
      <w:marBottom w:val="0"/>
      <w:divBdr>
        <w:top w:val="none" w:sz="0" w:space="0" w:color="auto"/>
        <w:left w:val="none" w:sz="0" w:space="0" w:color="auto"/>
        <w:bottom w:val="none" w:sz="0" w:space="0" w:color="auto"/>
        <w:right w:val="none" w:sz="0" w:space="0" w:color="auto"/>
      </w:divBdr>
    </w:div>
    <w:div w:id="553273458">
      <w:bodyDiv w:val="1"/>
      <w:marLeft w:val="0"/>
      <w:marRight w:val="0"/>
      <w:marTop w:val="0"/>
      <w:marBottom w:val="0"/>
      <w:divBdr>
        <w:top w:val="none" w:sz="0" w:space="0" w:color="auto"/>
        <w:left w:val="none" w:sz="0" w:space="0" w:color="auto"/>
        <w:bottom w:val="none" w:sz="0" w:space="0" w:color="auto"/>
        <w:right w:val="none" w:sz="0" w:space="0" w:color="auto"/>
      </w:divBdr>
    </w:div>
    <w:div w:id="575630731">
      <w:bodyDiv w:val="1"/>
      <w:marLeft w:val="0"/>
      <w:marRight w:val="0"/>
      <w:marTop w:val="0"/>
      <w:marBottom w:val="0"/>
      <w:divBdr>
        <w:top w:val="none" w:sz="0" w:space="0" w:color="auto"/>
        <w:left w:val="none" w:sz="0" w:space="0" w:color="auto"/>
        <w:bottom w:val="none" w:sz="0" w:space="0" w:color="auto"/>
        <w:right w:val="none" w:sz="0" w:space="0" w:color="auto"/>
      </w:divBdr>
    </w:div>
    <w:div w:id="580606473">
      <w:bodyDiv w:val="1"/>
      <w:marLeft w:val="0"/>
      <w:marRight w:val="0"/>
      <w:marTop w:val="0"/>
      <w:marBottom w:val="0"/>
      <w:divBdr>
        <w:top w:val="none" w:sz="0" w:space="0" w:color="auto"/>
        <w:left w:val="none" w:sz="0" w:space="0" w:color="auto"/>
        <w:bottom w:val="none" w:sz="0" w:space="0" w:color="auto"/>
        <w:right w:val="none" w:sz="0" w:space="0" w:color="auto"/>
      </w:divBdr>
    </w:div>
    <w:div w:id="583950284">
      <w:bodyDiv w:val="1"/>
      <w:marLeft w:val="0"/>
      <w:marRight w:val="0"/>
      <w:marTop w:val="0"/>
      <w:marBottom w:val="0"/>
      <w:divBdr>
        <w:top w:val="none" w:sz="0" w:space="0" w:color="auto"/>
        <w:left w:val="none" w:sz="0" w:space="0" w:color="auto"/>
        <w:bottom w:val="none" w:sz="0" w:space="0" w:color="auto"/>
        <w:right w:val="none" w:sz="0" w:space="0" w:color="auto"/>
      </w:divBdr>
    </w:div>
    <w:div w:id="616331116">
      <w:bodyDiv w:val="1"/>
      <w:marLeft w:val="0"/>
      <w:marRight w:val="0"/>
      <w:marTop w:val="0"/>
      <w:marBottom w:val="0"/>
      <w:divBdr>
        <w:top w:val="none" w:sz="0" w:space="0" w:color="auto"/>
        <w:left w:val="none" w:sz="0" w:space="0" w:color="auto"/>
        <w:bottom w:val="none" w:sz="0" w:space="0" w:color="auto"/>
        <w:right w:val="none" w:sz="0" w:space="0" w:color="auto"/>
      </w:divBdr>
    </w:div>
    <w:div w:id="626199920">
      <w:bodyDiv w:val="1"/>
      <w:marLeft w:val="0"/>
      <w:marRight w:val="0"/>
      <w:marTop w:val="0"/>
      <w:marBottom w:val="0"/>
      <w:divBdr>
        <w:top w:val="none" w:sz="0" w:space="0" w:color="auto"/>
        <w:left w:val="none" w:sz="0" w:space="0" w:color="auto"/>
        <w:bottom w:val="none" w:sz="0" w:space="0" w:color="auto"/>
        <w:right w:val="none" w:sz="0" w:space="0" w:color="auto"/>
      </w:divBdr>
    </w:div>
    <w:div w:id="630014591">
      <w:bodyDiv w:val="1"/>
      <w:marLeft w:val="0"/>
      <w:marRight w:val="0"/>
      <w:marTop w:val="0"/>
      <w:marBottom w:val="0"/>
      <w:divBdr>
        <w:top w:val="none" w:sz="0" w:space="0" w:color="auto"/>
        <w:left w:val="none" w:sz="0" w:space="0" w:color="auto"/>
        <w:bottom w:val="none" w:sz="0" w:space="0" w:color="auto"/>
        <w:right w:val="none" w:sz="0" w:space="0" w:color="auto"/>
      </w:divBdr>
    </w:div>
    <w:div w:id="630750170">
      <w:bodyDiv w:val="1"/>
      <w:marLeft w:val="0"/>
      <w:marRight w:val="0"/>
      <w:marTop w:val="0"/>
      <w:marBottom w:val="0"/>
      <w:divBdr>
        <w:top w:val="none" w:sz="0" w:space="0" w:color="auto"/>
        <w:left w:val="none" w:sz="0" w:space="0" w:color="auto"/>
        <w:bottom w:val="none" w:sz="0" w:space="0" w:color="auto"/>
        <w:right w:val="none" w:sz="0" w:space="0" w:color="auto"/>
      </w:divBdr>
    </w:div>
    <w:div w:id="659817511">
      <w:bodyDiv w:val="1"/>
      <w:marLeft w:val="0"/>
      <w:marRight w:val="0"/>
      <w:marTop w:val="0"/>
      <w:marBottom w:val="0"/>
      <w:divBdr>
        <w:top w:val="none" w:sz="0" w:space="0" w:color="auto"/>
        <w:left w:val="none" w:sz="0" w:space="0" w:color="auto"/>
        <w:bottom w:val="none" w:sz="0" w:space="0" w:color="auto"/>
        <w:right w:val="none" w:sz="0" w:space="0" w:color="auto"/>
      </w:divBdr>
    </w:div>
    <w:div w:id="683753072">
      <w:bodyDiv w:val="1"/>
      <w:marLeft w:val="0"/>
      <w:marRight w:val="0"/>
      <w:marTop w:val="0"/>
      <w:marBottom w:val="0"/>
      <w:divBdr>
        <w:top w:val="none" w:sz="0" w:space="0" w:color="auto"/>
        <w:left w:val="none" w:sz="0" w:space="0" w:color="auto"/>
        <w:bottom w:val="none" w:sz="0" w:space="0" w:color="auto"/>
        <w:right w:val="none" w:sz="0" w:space="0" w:color="auto"/>
      </w:divBdr>
    </w:div>
    <w:div w:id="685406171">
      <w:bodyDiv w:val="1"/>
      <w:marLeft w:val="0"/>
      <w:marRight w:val="0"/>
      <w:marTop w:val="0"/>
      <w:marBottom w:val="0"/>
      <w:divBdr>
        <w:top w:val="none" w:sz="0" w:space="0" w:color="auto"/>
        <w:left w:val="none" w:sz="0" w:space="0" w:color="auto"/>
        <w:bottom w:val="none" w:sz="0" w:space="0" w:color="auto"/>
        <w:right w:val="none" w:sz="0" w:space="0" w:color="auto"/>
      </w:divBdr>
    </w:div>
    <w:div w:id="693269401">
      <w:bodyDiv w:val="1"/>
      <w:marLeft w:val="0"/>
      <w:marRight w:val="0"/>
      <w:marTop w:val="0"/>
      <w:marBottom w:val="0"/>
      <w:divBdr>
        <w:top w:val="none" w:sz="0" w:space="0" w:color="auto"/>
        <w:left w:val="none" w:sz="0" w:space="0" w:color="auto"/>
        <w:bottom w:val="none" w:sz="0" w:space="0" w:color="auto"/>
        <w:right w:val="none" w:sz="0" w:space="0" w:color="auto"/>
      </w:divBdr>
    </w:div>
    <w:div w:id="695499072">
      <w:bodyDiv w:val="1"/>
      <w:marLeft w:val="0"/>
      <w:marRight w:val="0"/>
      <w:marTop w:val="0"/>
      <w:marBottom w:val="0"/>
      <w:divBdr>
        <w:top w:val="none" w:sz="0" w:space="0" w:color="auto"/>
        <w:left w:val="none" w:sz="0" w:space="0" w:color="auto"/>
        <w:bottom w:val="none" w:sz="0" w:space="0" w:color="auto"/>
        <w:right w:val="none" w:sz="0" w:space="0" w:color="auto"/>
      </w:divBdr>
    </w:div>
    <w:div w:id="698094219">
      <w:bodyDiv w:val="1"/>
      <w:marLeft w:val="0"/>
      <w:marRight w:val="0"/>
      <w:marTop w:val="0"/>
      <w:marBottom w:val="0"/>
      <w:divBdr>
        <w:top w:val="none" w:sz="0" w:space="0" w:color="auto"/>
        <w:left w:val="none" w:sz="0" w:space="0" w:color="auto"/>
        <w:bottom w:val="none" w:sz="0" w:space="0" w:color="auto"/>
        <w:right w:val="none" w:sz="0" w:space="0" w:color="auto"/>
      </w:divBdr>
    </w:div>
    <w:div w:id="716205048">
      <w:bodyDiv w:val="1"/>
      <w:marLeft w:val="0"/>
      <w:marRight w:val="0"/>
      <w:marTop w:val="0"/>
      <w:marBottom w:val="0"/>
      <w:divBdr>
        <w:top w:val="none" w:sz="0" w:space="0" w:color="auto"/>
        <w:left w:val="none" w:sz="0" w:space="0" w:color="auto"/>
        <w:bottom w:val="none" w:sz="0" w:space="0" w:color="auto"/>
        <w:right w:val="none" w:sz="0" w:space="0" w:color="auto"/>
      </w:divBdr>
    </w:div>
    <w:div w:id="739836178">
      <w:bodyDiv w:val="1"/>
      <w:marLeft w:val="0"/>
      <w:marRight w:val="0"/>
      <w:marTop w:val="0"/>
      <w:marBottom w:val="0"/>
      <w:divBdr>
        <w:top w:val="none" w:sz="0" w:space="0" w:color="auto"/>
        <w:left w:val="none" w:sz="0" w:space="0" w:color="auto"/>
        <w:bottom w:val="none" w:sz="0" w:space="0" w:color="auto"/>
        <w:right w:val="none" w:sz="0" w:space="0" w:color="auto"/>
      </w:divBdr>
    </w:div>
    <w:div w:id="759448216">
      <w:bodyDiv w:val="1"/>
      <w:marLeft w:val="0"/>
      <w:marRight w:val="0"/>
      <w:marTop w:val="0"/>
      <w:marBottom w:val="0"/>
      <w:divBdr>
        <w:top w:val="none" w:sz="0" w:space="0" w:color="auto"/>
        <w:left w:val="none" w:sz="0" w:space="0" w:color="auto"/>
        <w:bottom w:val="none" w:sz="0" w:space="0" w:color="auto"/>
        <w:right w:val="none" w:sz="0" w:space="0" w:color="auto"/>
      </w:divBdr>
    </w:div>
    <w:div w:id="760293053">
      <w:bodyDiv w:val="1"/>
      <w:marLeft w:val="0"/>
      <w:marRight w:val="0"/>
      <w:marTop w:val="0"/>
      <w:marBottom w:val="0"/>
      <w:divBdr>
        <w:top w:val="none" w:sz="0" w:space="0" w:color="auto"/>
        <w:left w:val="none" w:sz="0" w:space="0" w:color="auto"/>
        <w:bottom w:val="none" w:sz="0" w:space="0" w:color="auto"/>
        <w:right w:val="none" w:sz="0" w:space="0" w:color="auto"/>
      </w:divBdr>
    </w:div>
    <w:div w:id="767387184">
      <w:bodyDiv w:val="1"/>
      <w:marLeft w:val="0"/>
      <w:marRight w:val="0"/>
      <w:marTop w:val="0"/>
      <w:marBottom w:val="0"/>
      <w:divBdr>
        <w:top w:val="none" w:sz="0" w:space="0" w:color="auto"/>
        <w:left w:val="none" w:sz="0" w:space="0" w:color="auto"/>
        <w:bottom w:val="none" w:sz="0" w:space="0" w:color="auto"/>
        <w:right w:val="none" w:sz="0" w:space="0" w:color="auto"/>
      </w:divBdr>
    </w:div>
    <w:div w:id="773287997">
      <w:bodyDiv w:val="1"/>
      <w:marLeft w:val="0"/>
      <w:marRight w:val="0"/>
      <w:marTop w:val="0"/>
      <w:marBottom w:val="0"/>
      <w:divBdr>
        <w:top w:val="none" w:sz="0" w:space="0" w:color="auto"/>
        <w:left w:val="none" w:sz="0" w:space="0" w:color="auto"/>
        <w:bottom w:val="none" w:sz="0" w:space="0" w:color="auto"/>
        <w:right w:val="none" w:sz="0" w:space="0" w:color="auto"/>
      </w:divBdr>
    </w:div>
    <w:div w:id="781657463">
      <w:bodyDiv w:val="1"/>
      <w:marLeft w:val="0"/>
      <w:marRight w:val="0"/>
      <w:marTop w:val="0"/>
      <w:marBottom w:val="0"/>
      <w:divBdr>
        <w:top w:val="none" w:sz="0" w:space="0" w:color="auto"/>
        <w:left w:val="none" w:sz="0" w:space="0" w:color="auto"/>
        <w:bottom w:val="none" w:sz="0" w:space="0" w:color="auto"/>
        <w:right w:val="none" w:sz="0" w:space="0" w:color="auto"/>
      </w:divBdr>
    </w:div>
    <w:div w:id="782652225">
      <w:bodyDiv w:val="1"/>
      <w:marLeft w:val="0"/>
      <w:marRight w:val="0"/>
      <w:marTop w:val="0"/>
      <w:marBottom w:val="0"/>
      <w:divBdr>
        <w:top w:val="none" w:sz="0" w:space="0" w:color="auto"/>
        <w:left w:val="none" w:sz="0" w:space="0" w:color="auto"/>
        <w:bottom w:val="none" w:sz="0" w:space="0" w:color="auto"/>
        <w:right w:val="none" w:sz="0" w:space="0" w:color="auto"/>
      </w:divBdr>
    </w:div>
    <w:div w:id="800003388">
      <w:bodyDiv w:val="1"/>
      <w:marLeft w:val="0"/>
      <w:marRight w:val="0"/>
      <w:marTop w:val="0"/>
      <w:marBottom w:val="0"/>
      <w:divBdr>
        <w:top w:val="none" w:sz="0" w:space="0" w:color="auto"/>
        <w:left w:val="none" w:sz="0" w:space="0" w:color="auto"/>
        <w:bottom w:val="none" w:sz="0" w:space="0" w:color="auto"/>
        <w:right w:val="none" w:sz="0" w:space="0" w:color="auto"/>
      </w:divBdr>
    </w:div>
    <w:div w:id="822552270">
      <w:bodyDiv w:val="1"/>
      <w:marLeft w:val="0"/>
      <w:marRight w:val="0"/>
      <w:marTop w:val="0"/>
      <w:marBottom w:val="0"/>
      <w:divBdr>
        <w:top w:val="none" w:sz="0" w:space="0" w:color="auto"/>
        <w:left w:val="none" w:sz="0" w:space="0" w:color="auto"/>
        <w:bottom w:val="none" w:sz="0" w:space="0" w:color="auto"/>
        <w:right w:val="none" w:sz="0" w:space="0" w:color="auto"/>
      </w:divBdr>
    </w:div>
    <w:div w:id="835875524">
      <w:bodyDiv w:val="1"/>
      <w:marLeft w:val="0"/>
      <w:marRight w:val="0"/>
      <w:marTop w:val="0"/>
      <w:marBottom w:val="0"/>
      <w:divBdr>
        <w:top w:val="none" w:sz="0" w:space="0" w:color="auto"/>
        <w:left w:val="none" w:sz="0" w:space="0" w:color="auto"/>
        <w:bottom w:val="none" w:sz="0" w:space="0" w:color="auto"/>
        <w:right w:val="none" w:sz="0" w:space="0" w:color="auto"/>
      </w:divBdr>
    </w:div>
    <w:div w:id="839545325">
      <w:bodyDiv w:val="1"/>
      <w:marLeft w:val="0"/>
      <w:marRight w:val="0"/>
      <w:marTop w:val="0"/>
      <w:marBottom w:val="0"/>
      <w:divBdr>
        <w:top w:val="none" w:sz="0" w:space="0" w:color="auto"/>
        <w:left w:val="none" w:sz="0" w:space="0" w:color="auto"/>
        <w:bottom w:val="none" w:sz="0" w:space="0" w:color="auto"/>
        <w:right w:val="none" w:sz="0" w:space="0" w:color="auto"/>
      </w:divBdr>
    </w:div>
    <w:div w:id="839664849">
      <w:bodyDiv w:val="1"/>
      <w:marLeft w:val="0"/>
      <w:marRight w:val="0"/>
      <w:marTop w:val="0"/>
      <w:marBottom w:val="0"/>
      <w:divBdr>
        <w:top w:val="none" w:sz="0" w:space="0" w:color="auto"/>
        <w:left w:val="none" w:sz="0" w:space="0" w:color="auto"/>
        <w:bottom w:val="none" w:sz="0" w:space="0" w:color="auto"/>
        <w:right w:val="none" w:sz="0" w:space="0" w:color="auto"/>
      </w:divBdr>
    </w:div>
    <w:div w:id="850527558">
      <w:bodyDiv w:val="1"/>
      <w:marLeft w:val="0"/>
      <w:marRight w:val="0"/>
      <w:marTop w:val="0"/>
      <w:marBottom w:val="0"/>
      <w:divBdr>
        <w:top w:val="none" w:sz="0" w:space="0" w:color="auto"/>
        <w:left w:val="none" w:sz="0" w:space="0" w:color="auto"/>
        <w:bottom w:val="none" w:sz="0" w:space="0" w:color="auto"/>
        <w:right w:val="none" w:sz="0" w:space="0" w:color="auto"/>
      </w:divBdr>
    </w:div>
    <w:div w:id="851989987">
      <w:bodyDiv w:val="1"/>
      <w:marLeft w:val="0"/>
      <w:marRight w:val="0"/>
      <w:marTop w:val="0"/>
      <w:marBottom w:val="0"/>
      <w:divBdr>
        <w:top w:val="none" w:sz="0" w:space="0" w:color="auto"/>
        <w:left w:val="none" w:sz="0" w:space="0" w:color="auto"/>
        <w:bottom w:val="none" w:sz="0" w:space="0" w:color="auto"/>
        <w:right w:val="none" w:sz="0" w:space="0" w:color="auto"/>
      </w:divBdr>
    </w:div>
    <w:div w:id="855463395">
      <w:bodyDiv w:val="1"/>
      <w:marLeft w:val="0"/>
      <w:marRight w:val="0"/>
      <w:marTop w:val="0"/>
      <w:marBottom w:val="0"/>
      <w:divBdr>
        <w:top w:val="none" w:sz="0" w:space="0" w:color="auto"/>
        <w:left w:val="none" w:sz="0" w:space="0" w:color="auto"/>
        <w:bottom w:val="none" w:sz="0" w:space="0" w:color="auto"/>
        <w:right w:val="none" w:sz="0" w:space="0" w:color="auto"/>
      </w:divBdr>
    </w:div>
    <w:div w:id="863134387">
      <w:bodyDiv w:val="1"/>
      <w:marLeft w:val="0"/>
      <w:marRight w:val="0"/>
      <w:marTop w:val="0"/>
      <w:marBottom w:val="0"/>
      <w:divBdr>
        <w:top w:val="none" w:sz="0" w:space="0" w:color="auto"/>
        <w:left w:val="none" w:sz="0" w:space="0" w:color="auto"/>
        <w:bottom w:val="none" w:sz="0" w:space="0" w:color="auto"/>
        <w:right w:val="none" w:sz="0" w:space="0" w:color="auto"/>
      </w:divBdr>
    </w:div>
    <w:div w:id="892497450">
      <w:bodyDiv w:val="1"/>
      <w:marLeft w:val="0"/>
      <w:marRight w:val="0"/>
      <w:marTop w:val="0"/>
      <w:marBottom w:val="0"/>
      <w:divBdr>
        <w:top w:val="none" w:sz="0" w:space="0" w:color="auto"/>
        <w:left w:val="none" w:sz="0" w:space="0" w:color="auto"/>
        <w:bottom w:val="none" w:sz="0" w:space="0" w:color="auto"/>
        <w:right w:val="none" w:sz="0" w:space="0" w:color="auto"/>
      </w:divBdr>
    </w:div>
    <w:div w:id="903294135">
      <w:bodyDiv w:val="1"/>
      <w:marLeft w:val="0"/>
      <w:marRight w:val="0"/>
      <w:marTop w:val="0"/>
      <w:marBottom w:val="0"/>
      <w:divBdr>
        <w:top w:val="none" w:sz="0" w:space="0" w:color="auto"/>
        <w:left w:val="none" w:sz="0" w:space="0" w:color="auto"/>
        <w:bottom w:val="none" w:sz="0" w:space="0" w:color="auto"/>
        <w:right w:val="none" w:sz="0" w:space="0" w:color="auto"/>
      </w:divBdr>
    </w:div>
    <w:div w:id="913389677">
      <w:bodyDiv w:val="1"/>
      <w:marLeft w:val="0"/>
      <w:marRight w:val="0"/>
      <w:marTop w:val="0"/>
      <w:marBottom w:val="0"/>
      <w:divBdr>
        <w:top w:val="none" w:sz="0" w:space="0" w:color="auto"/>
        <w:left w:val="none" w:sz="0" w:space="0" w:color="auto"/>
        <w:bottom w:val="none" w:sz="0" w:space="0" w:color="auto"/>
        <w:right w:val="none" w:sz="0" w:space="0" w:color="auto"/>
      </w:divBdr>
    </w:div>
    <w:div w:id="995187296">
      <w:bodyDiv w:val="1"/>
      <w:marLeft w:val="0"/>
      <w:marRight w:val="0"/>
      <w:marTop w:val="0"/>
      <w:marBottom w:val="0"/>
      <w:divBdr>
        <w:top w:val="none" w:sz="0" w:space="0" w:color="auto"/>
        <w:left w:val="none" w:sz="0" w:space="0" w:color="auto"/>
        <w:bottom w:val="none" w:sz="0" w:space="0" w:color="auto"/>
        <w:right w:val="none" w:sz="0" w:space="0" w:color="auto"/>
      </w:divBdr>
    </w:div>
    <w:div w:id="1006519035">
      <w:bodyDiv w:val="1"/>
      <w:marLeft w:val="0"/>
      <w:marRight w:val="0"/>
      <w:marTop w:val="0"/>
      <w:marBottom w:val="0"/>
      <w:divBdr>
        <w:top w:val="none" w:sz="0" w:space="0" w:color="auto"/>
        <w:left w:val="none" w:sz="0" w:space="0" w:color="auto"/>
        <w:bottom w:val="none" w:sz="0" w:space="0" w:color="auto"/>
        <w:right w:val="none" w:sz="0" w:space="0" w:color="auto"/>
      </w:divBdr>
    </w:div>
    <w:div w:id="1009525615">
      <w:bodyDiv w:val="1"/>
      <w:marLeft w:val="0"/>
      <w:marRight w:val="0"/>
      <w:marTop w:val="0"/>
      <w:marBottom w:val="0"/>
      <w:divBdr>
        <w:top w:val="none" w:sz="0" w:space="0" w:color="auto"/>
        <w:left w:val="none" w:sz="0" w:space="0" w:color="auto"/>
        <w:bottom w:val="none" w:sz="0" w:space="0" w:color="auto"/>
        <w:right w:val="none" w:sz="0" w:space="0" w:color="auto"/>
      </w:divBdr>
    </w:div>
    <w:div w:id="1010446695">
      <w:bodyDiv w:val="1"/>
      <w:marLeft w:val="0"/>
      <w:marRight w:val="0"/>
      <w:marTop w:val="0"/>
      <w:marBottom w:val="0"/>
      <w:divBdr>
        <w:top w:val="none" w:sz="0" w:space="0" w:color="auto"/>
        <w:left w:val="none" w:sz="0" w:space="0" w:color="auto"/>
        <w:bottom w:val="none" w:sz="0" w:space="0" w:color="auto"/>
        <w:right w:val="none" w:sz="0" w:space="0" w:color="auto"/>
      </w:divBdr>
    </w:div>
    <w:div w:id="1012878407">
      <w:bodyDiv w:val="1"/>
      <w:marLeft w:val="0"/>
      <w:marRight w:val="0"/>
      <w:marTop w:val="0"/>
      <w:marBottom w:val="0"/>
      <w:divBdr>
        <w:top w:val="none" w:sz="0" w:space="0" w:color="auto"/>
        <w:left w:val="none" w:sz="0" w:space="0" w:color="auto"/>
        <w:bottom w:val="none" w:sz="0" w:space="0" w:color="auto"/>
        <w:right w:val="none" w:sz="0" w:space="0" w:color="auto"/>
      </w:divBdr>
    </w:div>
    <w:div w:id="1020276322">
      <w:bodyDiv w:val="1"/>
      <w:marLeft w:val="0"/>
      <w:marRight w:val="0"/>
      <w:marTop w:val="0"/>
      <w:marBottom w:val="0"/>
      <w:divBdr>
        <w:top w:val="none" w:sz="0" w:space="0" w:color="auto"/>
        <w:left w:val="none" w:sz="0" w:space="0" w:color="auto"/>
        <w:bottom w:val="none" w:sz="0" w:space="0" w:color="auto"/>
        <w:right w:val="none" w:sz="0" w:space="0" w:color="auto"/>
      </w:divBdr>
    </w:div>
    <w:div w:id="1024940253">
      <w:bodyDiv w:val="1"/>
      <w:marLeft w:val="0"/>
      <w:marRight w:val="0"/>
      <w:marTop w:val="0"/>
      <w:marBottom w:val="0"/>
      <w:divBdr>
        <w:top w:val="none" w:sz="0" w:space="0" w:color="auto"/>
        <w:left w:val="none" w:sz="0" w:space="0" w:color="auto"/>
        <w:bottom w:val="none" w:sz="0" w:space="0" w:color="auto"/>
        <w:right w:val="none" w:sz="0" w:space="0" w:color="auto"/>
      </w:divBdr>
    </w:div>
    <w:div w:id="1030305758">
      <w:bodyDiv w:val="1"/>
      <w:marLeft w:val="0"/>
      <w:marRight w:val="0"/>
      <w:marTop w:val="0"/>
      <w:marBottom w:val="0"/>
      <w:divBdr>
        <w:top w:val="none" w:sz="0" w:space="0" w:color="auto"/>
        <w:left w:val="none" w:sz="0" w:space="0" w:color="auto"/>
        <w:bottom w:val="none" w:sz="0" w:space="0" w:color="auto"/>
        <w:right w:val="none" w:sz="0" w:space="0" w:color="auto"/>
      </w:divBdr>
    </w:div>
    <w:div w:id="1034578361">
      <w:bodyDiv w:val="1"/>
      <w:marLeft w:val="0"/>
      <w:marRight w:val="0"/>
      <w:marTop w:val="0"/>
      <w:marBottom w:val="0"/>
      <w:divBdr>
        <w:top w:val="none" w:sz="0" w:space="0" w:color="auto"/>
        <w:left w:val="none" w:sz="0" w:space="0" w:color="auto"/>
        <w:bottom w:val="none" w:sz="0" w:space="0" w:color="auto"/>
        <w:right w:val="none" w:sz="0" w:space="0" w:color="auto"/>
      </w:divBdr>
    </w:div>
    <w:div w:id="1073628152">
      <w:bodyDiv w:val="1"/>
      <w:marLeft w:val="0"/>
      <w:marRight w:val="0"/>
      <w:marTop w:val="0"/>
      <w:marBottom w:val="0"/>
      <w:divBdr>
        <w:top w:val="none" w:sz="0" w:space="0" w:color="auto"/>
        <w:left w:val="none" w:sz="0" w:space="0" w:color="auto"/>
        <w:bottom w:val="none" w:sz="0" w:space="0" w:color="auto"/>
        <w:right w:val="none" w:sz="0" w:space="0" w:color="auto"/>
      </w:divBdr>
    </w:div>
    <w:div w:id="1086028520">
      <w:bodyDiv w:val="1"/>
      <w:marLeft w:val="0"/>
      <w:marRight w:val="0"/>
      <w:marTop w:val="0"/>
      <w:marBottom w:val="0"/>
      <w:divBdr>
        <w:top w:val="none" w:sz="0" w:space="0" w:color="auto"/>
        <w:left w:val="none" w:sz="0" w:space="0" w:color="auto"/>
        <w:bottom w:val="none" w:sz="0" w:space="0" w:color="auto"/>
        <w:right w:val="none" w:sz="0" w:space="0" w:color="auto"/>
      </w:divBdr>
    </w:div>
    <w:div w:id="1099721571">
      <w:bodyDiv w:val="1"/>
      <w:marLeft w:val="0"/>
      <w:marRight w:val="0"/>
      <w:marTop w:val="0"/>
      <w:marBottom w:val="0"/>
      <w:divBdr>
        <w:top w:val="none" w:sz="0" w:space="0" w:color="auto"/>
        <w:left w:val="none" w:sz="0" w:space="0" w:color="auto"/>
        <w:bottom w:val="none" w:sz="0" w:space="0" w:color="auto"/>
        <w:right w:val="none" w:sz="0" w:space="0" w:color="auto"/>
      </w:divBdr>
    </w:div>
    <w:div w:id="1113982226">
      <w:bodyDiv w:val="1"/>
      <w:marLeft w:val="0"/>
      <w:marRight w:val="0"/>
      <w:marTop w:val="0"/>
      <w:marBottom w:val="0"/>
      <w:divBdr>
        <w:top w:val="none" w:sz="0" w:space="0" w:color="auto"/>
        <w:left w:val="none" w:sz="0" w:space="0" w:color="auto"/>
        <w:bottom w:val="none" w:sz="0" w:space="0" w:color="auto"/>
        <w:right w:val="none" w:sz="0" w:space="0" w:color="auto"/>
      </w:divBdr>
    </w:div>
    <w:div w:id="1121875763">
      <w:bodyDiv w:val="1"/>
      <w:marLeft w:val="0"/>
      <w:marRight w:val="0"/>
      <w:marTop w:val="0"/>
      <w:marBottom w:val="0"/>
      <w:divBdr>
        <w:top w:val="none" w:sz="0" w:space="0" w:color="auto"/>
        <w:left w:val="none" w:sz="0" w:space="0" w:color="auto"/>
        <w:bottom w:val="none" w:sz="0" w:space="0" w:color="auto"/>
        <w:right w:val="none" w:sz="0" w:space="0" w:color="auto"/>
      </w:divBdr>
    </w:div>
    <w:div w:id="1149902868">
      <w:bodyDiv w:val="1"/>
      <w:marLeft w:val="0"/>
      <w:marRight w:val="0"/>
      <w:marTop w:val="0"/>
      <w:marBottom w:val="0"/>
      <w:divBdr>
        <w:top w:val="none" w:sz="0" w:space="0" w:color="auto"/>
        <w:left w:val="none" w:sz="0" w:space="0" w:color="auto"/>
        <w:bottom w:val="none" w:sz="0" w:space="0" w:color="auto"/>
        <w:right w:val="none" w:sz="0" w:space="0" w:color="auto"/>
      </w:divBdr>
    </w:div>
    <w:div w:id="1154645049">
      <w:bodyDiv w:val="1"/>
      <w:marLeft w:val="0"/>
      <w:marRight w:val="0"/>
      <w:marTop w:val="0"/>
      <w:marBottom w:val="0"/>
      <w:divBdr>
        <w:top w:val="none" w:sz="0" w:space="0" w:color="auto"/>
        <w:left w:val="none" w:sz="0" w:space="0" w:color="auto"/>
        <w:bottom w:val="none" w:sz="0" w:space="0" w:color="auto"/>
        <w:right w:val="none" w:sz="0" w:space="0" w:color="auto"/>
      </w:divBdr>
    </w:div>
    <w:div w:id="1166046779">
      <w:bodyDiv w:val="1"/>
      <w:marLeft w:val="0"/>
      <w:marRight w:val="0"/>
      <w:marTop w:val="0"/>
      <w:marBottom w:val="0"/>
      <w:divBdr>
        <w:top w:val="none" w:sz="0" w:space="0" w:color="auto"/>
        <w:left w:val="none" w:sz="0" w:space="0" w:color="auto"/>
        <w:bottom w:val="none" w:sz="0" w:space="0" w:color="auto"/>
        <w:right w:val="none" w:sz="0" w:space="0" w:color="auto"/>
      </w:divBdr>
    </w:div>
    <w:div w:id="1167985258">
      <w:bodyDiv w:val="1"/>
      <w:marLeft w:val="0"/>
      <w:marRight w:val="0"/>
      <w:marTop w:val="0"/>
      <w:marBottom w:val="0"/>
      <w:divBdr>
        <w:top w:val="none" w:sz="0" w:space="0" w:color="auto"/>
        <w:left w:val="none" w:sz="0" w:space="0" w:color="auto"/>
        <w:bottom w:val="none" w:sz="0" w:space="0" w:color="auto"/>
        <w:right w:val="none" w:sz="0" w:space="0" w:color="auto"/>
      </w:divBdr>
    </w:div>
    <w:div w:id="1176729295">
      <w:bodyDiv w:val="1"/>
      <w:marLeft w:val="0"/>
      <w:marRight w:val="0"/>
      <w:marTop w:val="0"/>
      <w:marBottom w:val="0"/>
      <w:divBdr>
        <w:top w:val="none" w:sz="0" w:space="0" w:color="auto"/>
        <w:left w:val="none" w:sz="0" w:space="0" w:color="auto"/>
        <w:bottom w:val="none" w:sz="0" w:space="0" w:color="auto"/>
        <w:right w:val="none" w:sz="0" w:space="0" w:color="auto"/>
      </w:divBdr>
    </w:div>
    <w:div w:id="1185827109">
      <w:bodyDiv w:val="1"/>
      <w:marLeft w:val="0"/>
      <w:marRight w:val="0"/>
      <w:marTop w:val="0"/>
      <w:marBottom w:val="0"/>
      <w:divBdr>
        <w:top w:val="none" w:sz="0" w:space="0" w:color="auto"/>
        <w:left w:val="none" w:sz="0" w:space="0" w:color="auto"/>
        <w:bottom w:val="none" w:sz="0" w:space="0" w:color="auto"/>
        <w:right w:val="none" w:sz="0" w:space="0" w:color="auto"/>
      </w:divBdr>
    </w:div>
    <w:div w:id="1208564941">
      <w:bodyDiv w:val="1"/>
      <w:marLeft w:val="0"/>
      <w:marRight w:val="0"/>
      <w:marTop w:val="0"/>
      <w:marBottom w:val="0"/>
      <w:divBdr>
        <w:top w:val="none" w:sz="0" w:space="0" w:color="auto"/>
        <w:left w:val="none" w:sz="0" w:space="0" w:color="auto"/>
        <w:bottom w:val="none" w:sz="0" w:space="0" w:color="auto"/>
        <w:right w:val="none" w:sz="0" w:space="0" w:color="auto"/>
      </w:divBdr>
    </w:div>
    <w:div w:id="1226185120">
      <w:bodyDiv w:val="1"/>
      <w:marLeft w:val="0"/>
      <w:marRight w:val="0"/>
      <w:marTop w:val="0"/>
      <w:marBottom w:val="0"/>
      <w:divBdr>
        <w:top w:val="none" w:sz="0" w:space="0" w:color="auto"/>
        <w:left w:val="none" w:sz="0" w:space="0" w:color="auto"/>
        <w:bottom w:val="none" w:sz="0" w:space="0" w:color="auto"/>
        <w:right w:val="none" w:sz="0" w:space="0" w:color="auto"/>
      </w:divBdr>
    </w:div>
    <w:div w:id="1244946411">
      <w:bodyDiv w:val="1"/>
      <w:marLeft w:val="0"/>
      <w:marRight w:val="0"/>
      <w:marTop w:val="0"/>
      <w:marBottom w:val="0"/>
      <w:divBdr>
        <w:top w:val="none" w:sz="0" w:space="0" w:color="auto"/>
        <w:left w:val="none" w:sz="0" w:space="0" w:color="auto"/>
        <w:bottom w:val="none" w:sz="0" w:space="0" w:color="auto"/>
        <w:right w:val="none" w:sz="0" w:space="0" w:color="auto"/>
      </w:divBdr>
    </w:div>
    <w:div w:id="1250383970">
      <w:bodyDiv w:val="1"/>
      <w:marLeft w:val="0"/>
      <w:marRight w:val="0"/>
      <w:marTop w:val="0"/>
      <w:marBottom w:val="0"/>
      <w:divBdr>
        <w:top w:val="none" w:sz="0" w:space="0" w:color="auto"/>
        <w:left w:val="none" w:sz="0" w:space="0" w:color="auto"/>
        <w:bottom w:val="none" w:sz="0" w:space="0" w:color="auto"/>
        <w:right w:val="none" w:sz="0" w:space="0" w:color="auto"/>
      </w:divBdr>
    </w:div>
    <w:div w:id="1256941204">
      <w:bodyDiv w:val="1"/>
      <w:marLeft w:val="0"/>
      <w:marRight w:val="0"/>
      <w:marTop w:val="0"/>
      <w:marBottom w:val="0"/>
      <w:divBdr>
        <w:top w:val="none" w:sz="0" w:space="0" w:color="auto"/>
        <w:left w:val="none" w:sz="0" w:space="0" w:color="auto"/>
        <w:bottom w:val="none" w:sz="0" w:space="0" w:color="auto"/>
        <w:right w:val="none" w:sz="0" w:space="0" w:color="auto"/>
      </w:divBdr>
    </w:div>
    <w:div w:id="1290015973">
      <w:bodyDiv w:val="1"/>
      <w:marLeft w:val="0"/>
      <w:marRight w:val="0"/>
      <w:marTop w:val="0"/>
      <w:marBottom w:val="0"/>
      <w:divBdr>
        <w:top w:val="none" w:sz="0" w:space="0" w:color="auto"/>
        <w:left w:val="none" w:sz="0" w:space="0" w:color="auto"/>
        <w:bottom w:val="none" w:sz="0" w:space="0" w:color="auto"/>
        <w:right w:val="none" w:sz="0" w:space="0" w:color="auto"/>
      </w:divBdr>
    </w:div>
    <w:div w:id="1291744852">
      <w:bodyDiv w:val="1"/>
      <w:marLeft w:val="0"/>
      <w:marRight w:val="0"/>
      <w:marTop w:val="0"/>
      <w:marBottom w:val="0"/>
      <w:divBdr>
        <w:top w:val="none" w:sz="0" w:space="0" w:color="auto"/>
        <w:left w:val="none" w:sz="0" w:space="0" w:color="auto"/>
        <w:bottom w:val="none" w:sz="0" w:space="0" w:color="auto"/>
        <w:right w:val="none" w:sz="0" w:space="0" w:color="auto"/>
      </w:divBdr>
    </w:div>
    <w:div w:id="1311253546">
      <w:bodyDiv w:val="1"/>
      <w:marLeft w:val="0"/>
      <w:marRight w:val="0"/>
      <w:marTop w:val="0"/>
      <w:marBottom w:val="0"/>
      <w:divBdr>
        <w:top w:val="none" w:sz="0" w:space="0" w:color="auto"/>
        <w:left w:val="none" w:sz="0" w:space="0" w:color="auto"/>
        <w:bottom w:val="none" w:sz="0" w:space="0" w:color="auto"/>
        <w:right w:val="none" w:sz="0" w:space="0" w:color="auto"/>
      </w:divBdr>
    </w:div>
    <w:div w:id="1319308390">
      <w:bodyDiv w:val="1"/>
      <w:marLeft w:val="0"/>
      <w:marRight w:val="0"/>
      <w:marTop w:val="0"/>
      <w:marBottom w:val="0"/>
      <w:divBdr>
        <w:top w:val="none" w:sz="0" w:space="0" w:color="auto"/>
        <w:left w:val="none" w:sz="0" w:space="0" w:color="auto"/>
        <w:bottom w:val="none" w:sz="0" w:space="0" w:color="auto"/>
        <w:right w:val="none" w:sz="0" w:space="0" w:color="auto"/>
      </w:divBdr>
    </w:div>
    <w:div w:id="1325627558">
      <w:bodyDiv w:val="1"/>
      <w:marLeft w:val="0"/>
      <w:marRight w:val="0"/>
      <w:marTop w:val="0"/>
      <w:marBottom w:val="0"/>
      <w:divBdr>
        <w:top w:val="none" w:sz="0" w:space="0" w:color="auto"/>
        <w:left w:val="none" w:sz="0" w:space="0" w:color="auto"/>
        <w:bottom w:val="none" w:sz="0" w:space="0" w:color="auto"/>
        <w:right w:val="none" w:sz="0" w:space="0" w:color="auto"/>
      </w:divBdr>
    </w:div>
    <w:div w:id="1331640582">
      <w:bodyDiv w:val="1"/>
      <w:marLeft w:val="0"/>
      <w:marRight w:val="0"/>
      <w:marTop w:val="0"/>
      <w:marBottom w:val="0"/>
      <w:divBdr>
        <w:top w:val="none" w:sz="0" w:space="0" w:color="auto"/>
        <w:left w:val="none" w:sz="0" w:space="0" w:color="auto"/>
        <w:bottom w:val="none" w:sz="0" w:space="0" w:color="auto"/>
        <w:right w:val="none" w:sz="0" w:space="0" w:color="auto"/>
      </w:divBdr>
    </w:div>
    <w:div w:id="1332484883">
      <w:bodyDiv w:val="1"/>
      <w:marLeft w:val="0"/>
      <w:marRight w:val="0"/>
      <w:marTop w:val="0"/>
      <w:marBottom w:val="0"/>
      <w:divBdr>
        <w:top w:val="none" w:sz="0" w:space="0" w:color="auto"/>
        <w:left w:val="none" w:sz="0" w:space="0" w:color="auto"/>
        <w:bottom w:val="none" w:sz="0" w:space="0" w:color="auto"/>
        <w:right w:val="none" w:sz="0" w:space="0" w:color="auto"/>
      </w:divBdr>
    </w:div>
    <w:div w:id="1365056188">
      <w:bodyDiv w:val="1"/>
      <w:marLeft w:val="0"/>
      <w:marRight w:val="0"/>
      <w:marTop w:val="0"/>
      <w:marBottom w:val="0"/>
      <w:divBdr>
        <w:top w:val="none" w:sz="0" w:space="0" w:color="auto"/>
        <w:left w:val="none" w:sz="0" w:space="0" w:color="auto"/>
        <w:bottom w:val="none" w:sz="0" w:space="0" w:color="auto"/>
        <w:right w:val="none" w:sz="0" w:space="0" w:color="auto"/>
      </w:divBdr>
    </w:div>
    <w:div w:id="1370757777">
      <w:bodyDiv w:val="1"/>
      <w:marLeft w:val="0"/>
      <w:marRight w:val="0"/>
      <w:marTop w:val="0"/>
      <w:marBottom w:val="0"/>
      <w:divBdr>
        <w:top w:val="none" w:sz="0" w:space="0" w:color="auto"/>
        <w:left w:val="none" w:sz="0" w:space="0" w:color="auto"/>
        <w:bottom w:val="none" w:sz="0" w:space="0" w:color="auto"/>
        <w:right w:val="none" w:sz="0" w:space="0" w:color="auto"/>
      </w:divBdr>
    </w:div>
    <w:div w:id="1373841841">
      <w:bodyDiv w:val="1"/>
      <w:marLeft w:val="0"/>
      <w:marRight w:val="0"/>
      <w:marTop w:val="0"/>
      <w:marBottom w:val="0"/>
      <w:divBdr>
        <w:top w:val="none" w:sz="0" w:space="0" w:color="auto"/>
        <w:left w:val="none" w:sz="0" w:space="0" w:color="auto"/>
        <w:bottom w:val="none" w:sz="0" w:space="0" w:color="auto"/>
        <w:right w:val="none" w:sz="0" w:space="0" w:color="auto"/>
      </w:divBdr>
    </w:div>
    <w:div w:id="1380208095">
      <w:bodyDiv w:val="1"/>
      <w:marLeft w:val="0"/>
      <w:marRight w:val="0"/>
      <w:marTop w:val="0"/>
      <w:marBottom w:val="0"/>
      <w:divBdr>
        <w:top w:val="none" w:sz="0" w:space="0" w:color="auto"/>
        <w:left w:val="none" w:sz="0" w:space="0" w:color="auto"/>
        <w:bottom w:val="none" w:sz="0" w:space="0" w:color="auto"/>
        <w:right w:val="none" w:sz="0" w:space="0" w:color="auto"/>
      </w:divBdr>
    </w:div>
    <w:div w:id="1395857943">
      <w:bodyDiv w:val="1"/>
      <w:marLeft w:val="0"/>
      <w:marRight w:val="0"/>
      <w:marTop w:val="0"/>
      <w:marBottom w:val="0"/>
      <w:divBdr>
        <w:top w:val="none" w:sz="0" w:space="0" w:color="auto"/>
        <w:left w:val="none" w:sz="0" w:space="0" w:color="auto"/>
        <w:bottom w:val="none" w:sz="0" w:space="0" w:color="auto"/>
        <w:right w:val="none" w:sz="0" w:space="0" w:color="auto"/>
      </w:divBdr>
    </w:div>
    <w:div w:id="1405223190">
      <w:bodyDiv w:val="1"/>
      <w:marLeft w:val="0"/>
      <w:marRight w:val="0"/>
      <w:marTop w:val="0"/>
      <w:marBottom w:val="0"/>
      <w:divBdr>
        <w:top w:val="none" w:sz="0" w:space="0" w:color="auto"/>
        <w:left w:val="none" w:sz="0" w:space="0" w:color="auto"/>
        <w:bottom w:val="none" w:sz="0" w:space="0" w:color="auto"/>
        <w:right w:val="none" w:sz="0" w:space="0" w:color="auto"/>
      </w:divBdr>
    </w:div>
    <w:div w:id="1416587617">
      <w:bodyDiv w:val="1"/>
      <w:marLeft w:val="0"/>
      <w:marRight w:val="0"/>
      <w:marTop w:val="0"/>
      <w:marBottom w:val="0"/>
      <w:divBdr>
        <w:top w:val="none" w:sz="0" w:space="0" w:color="auto"/>
        <w:left w:val="none" w:sz="0" w:space="0" w:color="auto"/>
        <w:bottom w:val="none" w:sz="0" w:space="0" w:color="auto"/>
        <w:right w:val="none" w:sz="0" w:space="0" w:color="auto"/>
      </w:divBdr>
    </w:div>
    <w:div w:id="1427143534">
      <w:bodyDiv w:val="1"/>
      <w:marLeft w:val="0"/>
      <w:marRight w:val="0"/>
      <w:marTop w:val="0"/>
      <w:marBottom w:val="0"/>
      <w:divBdr>
        <w:top w:val="none" w:sz="0" w:space="0" w:color="auto"/>
        <w:left w:val="none" w:sz="0" w:space="0" w:color="auto"/>
        <w:bottom w:val="none" w:sz="0" w:space="0" w:color="auto"/>
        <w:right w:val="none" w:sz="0" w:space="0" w:color="auto"/>
      </w:divBdr>
    </w:div>
    <w:div w:id="1464150458">
      <w:bodyDiv w:val="1"/>
      <w:marLeft w:val="0"/>
      <w:marRight w:val="0"/>
      <w:marTop w:val="0"/>
      <w:marBottom w:val="0"/>
      <w:divBdr>
        <w:top w:val="none" w:sz="0" w:space="0" w:color="auto"/>
        <w:left w:val="none" w:sz="0" w:space="0" w:color="auto"/>
        <w:bottom w:val="none" w:sz="0" w:space="0" w:color="auto"/>
        <w:right w:val="none" w:sz="0" w:space="0" w:color="auto"/>
      </w:divBdr>
    </w:div>
    <w:div w:id="1465465073">
      <w:bodyDiv w:val="1"/>
      <w:marLeft w:val="0"/>
      <w:marRight w:val="0"/>
      <w:marTop w:val="0"/>
      <w:marBottom w:val="0"/>
      <w:divBdr>
        <w:top w:val="none" w:sz="0" w:space="0" w:color="auto"/>
        <w:left w:val="none" w:sz="0" w:space="0" w:color="auto"/>
        <w:bottom w:val="none" w:sz="0" w:space="0" w:color="auto"/>
        <w:right w:val="none" w:sz="0" w:space="0" w:color="auto"/>
      </w:divBdr>
    </w:div>
    <w:div w:id="1466124594">
      <w:bodyDiv w:val="1"/>
      <w:marLeft w:val="0"/>
      <w:marRight w:val="0"/>
      <w:marTop w:val="0"/>
      <w:marBottom w:val="0"/>
      <w:divBdr>
        <w:top w:val="none" w:sz="0" w:space="0" w:color="auto"/>
        <w:left w:val="none" w:sz="0" w:space="0" w:color="auto"/>
        <w:bottom w:val="none" w:sz="0" w:space="0" w:color="auto"/>
        <w:right w:val="none" w:sz="0" w:space="0" w:color="auto"/>
      </w:divBdr>
    </w:div>
    <w:div w:id="1499928858">
      <w:bodyDiv w:val="1"/>
      <w:marLeft w:val="0"/>
      <w:marRight w:val="0"/>
      <w:marTop w:val="0"/>
      <w:marBottom w:val="0"/>
      <w:divBdr>
        <w:top w:val="none" w:sz="0" w:space="0" w:color="auto"/>
        <w:left w:val="none" w:sz="0" w:space="0" w:color="auto"/>
        <w:bottom w:val="none" w:sz="0" w:space="0" w:color="auto"/>
        <w:right w:val="none" w:sz="0" w:space="0" w:color="auto"/>
      </w:divBdr>
    </w:div>
    <w:div w:id="1511213173">
      <w:bodyDiv w:val="1"/>
      <w:marLeft w:val="0"/>
      <w:marRight w:val="0"/>
      <w:marTop w:val="0"/>
      <w:marBottom w:val="0"/>
      <w:divBdr>
        <w:top w:val="none" w:sz="0" w:space="0" w:color="auto"/>
        <w:left w:val="none" w:sz="0" w:space="0" w:color="auto"/>
        <w:bottom w:val="none" w:sz="0" w:space="0" w:color="auto"/>
        <w:right w:val="none" w:sz="0" w:space="0" w:color="auto"/>
      </w:divBdr>
    </w:div>
    <w:div w:id="1513568421">
      <w:bodyDiv w:val="1"/>
      <w:marLeft w:val="0"/>
      <w:marRight w:val="0"/>
      <w:marTop w:val="0"/>
      <w:marBottom w:val="0"/>
      <w:divBdr>
        <w:top w:val="none" w:sz="0" w:space="0" w:color="auto"/>
        <w:left w:val="none" w:sz="0" w:space="0" w:color="auto"/>
        <w:bottom w:val="none" w:sz="0" w:space="0" w:color="auto"/>
        <w:right w:val="none" w:sz="0" w:space="0" w:color="auto"/>
      </w:divBdr>
    </w:div>
    <w:div w:id="1519736492">
      <w:bodyDiv w:val="1"/>
      <w:marLeft w:val="0"/>
      <w:marRight w:val="0"/>
      <w:marTop w:val="0"/>
      <w:marBottom w:val="0"/>
      <w:divBdr>
        <w:top w:val="none" w:sz="0" w:space="0" w:color="auto"/>
        <w:left w:val="none" w:sz="0" w:space="0" w:color="auto"/>
        <w:bottom w:val="none" w:sz="0" w:space="0" w:color="auto"/>
        <w:right w:val="none" w:sz="0" w:space="0" w:color="auto"/>
      </w:divBdr>
    </w:div>
    <w:div w:id="1520045818">
      <w:bodyDiv w:val="1"/>
      <w:marLeft w:val="0"/>
      <w:marRight w:val="0"/>
      <w:marTop w:val="0"/>
      <w:marBottom w:val="0"/>
      <w:divBdr>
        <w:top w:val="none" w:sz="0" w:space="0" w:color="auto"/>
        <w:left w:val="none" w:sz="0" w:space="0" w:color="auto"/>
        <w:bottom w:val="none" w:sz="0" w:space="0" w:color="auto"/>
        <w:right w:val="none" w:sz="0" w:space="0" w:color="auto"/>
      </w:divBdr>
    </w:div>
    <w:div w:id="1535465438">
      <w:bodyDiv w:val="1"/>
      <w:marLeft w:val="0"/>
      <w:marRight w:val="0"/>
      <w:marTop w:val="0"/>
      <w:marBottom w:val="0"/>
      <w:divBdr>
        <w:top w:val="none" w:sz="0" w:space="0" w:color="auto"/>
        <w:left w:val="none" w:sz="0" w:space="0" w:color="auto"/>
        <w:bottom w:val="none" w:sz="0" w:space="0" w:color="auto"/>
        <w:right w:val="none" w:sz="0" w:space="0" w:color="auto"/>
      </w:divBdr>
    </w:div>
    <w:div w:id="1546332697">
      <w:bodyDiv w:val="1"/>
      <w:marLeft w:val="0"/>
      <w:marRight w:val="0"/>
      <w:marTop w:val="0"/>
      <w:marBottom w:val="0"/>
      <w:divBdr>
        <w:top w:val="none" w:sz="0" w:space="0" w:color="auto"/>
        <w:left w:val="none" w:sz="0" w:space="0" w:color="auto"/>
        <w:bottom w:val="none" w:sz="0" w:space="0" w:color="auto"/>
        <w:right w:val="none" w:sz="0" w:space="0" w:color="auto"/>
      </w:divBdr>
    </w:div>
    <w:div w:id="1564827075">
      <w:bodyDiv w:val="1"/>
      <w:marLeft w:val="0"/>
      <w:marRight w:val="0"/>
      <w:marTop w:val="0"/>
      <w:marBottom w:val="0"/>
      <w:divBdr>
        <w:top w:val="none" w:sz="0" w:space="0" w:color="auto"/>
        <w:left w:val="none" w:sz="0" w:space="0" w:color="auto"/>
        <w:bottom w:val="none" w:sz="0" w:space="0" w:color="auto"/>
        <w:right w:val="none" w:sz="0" w:space="0" w:color="auto"/>
      </w:divBdr>
    </w:div>
    <w:div w:id="1570843613">
      <w:bodyDiv w:val="1"/>
      <w:marLeft w:val="0"/>
      <w:marRight w:val="0"/>
      <w:marTop w:val="0"/>
      <w:marBottom w:val="0"/>
      <w:divBdr>
        <w:top w:val="none" w:sz="0" w:space="0" w:color="auto"/>
        <w:left w:val="none" w:sz="0" w:space="0" w:color="auto"/>
        <w:bottom w:val="none" w:sz="0" w:space="0" w:color="auto"/>
        <w:right w:val="none" w:sz="0" w:space="0" w:color="auto"/>
      </w:divBdr>
    </w:div>
    <w:div w:id="1575621986">
      <w:bodyDiv w:val="1"/>
      <w:marLeft w:val="0"/>
      <w:marRight w:val="0"/>
      <w:marTop w:val="0"/>
      <w:marBottom w:val="0"/>
      <w:divBdr>
        <w:top w:val="none" w:sz="0" w:space="0" w:color="auto"/>
        <w:left w:val="none" w:sz="0" w:space="0" w:color="auto"/>
        <w:bottom w:val="none" w:sz="0" w:space="0" w:color="auto"/>
        <w:right w:val="none" w:sz="0" w:space="0" w:color="auto"/>
      </w:divBdr>
    </w:div>
    <w:div w:id="1579093508">
      <w:bodyDiv w:val="1"/>
      <w:marLeft w:val="0"/>
      <w:marRight w:val="0"/>
      <w:marTop w:val="0"/>
      <w:marBottom w:val="0"/>
      <w:divBdr>
        <w:top w:val="none" w:sz="0" w:space="0" w:color="auto"/>
        <w:left w:val="none" w:sz="0" w:space="0" w:color="auto"/>
        <w:bottom w:val="none" w:sz="0" w:space="0" w:color="auto"/>
        <w:right w:val="none" w:sz="0" w:space="0" w:color="auto"/>
      </w:divBdr>
    </w:div>
    <w:div w:id="1596554033">
      <w:bodyDiv w:val="1"/>
      <w:marLeft w:val="0"/>
      <w:marRight w:val="0"/>
      <w:marTop w:val="0"/>
      <w:marBottom w:val="0"/>
      <w:divBdr>
        <w:top w:val="none" w:sz="0" w:space="0" w:color="auto"/>
        <w:left w:val="none" w:sz="0" w:space="0" w:color="auto"/>
        <w:bottom w:val="none" w:sz="0" w:space="0" w:color="auto"/>
        <w:right w:val="none" w:sz="0" w:space="0" w:color="auto"/>
      </w:divBdr>
    </w:div>
    <w:div w:id="1613322990">
      <w:bodyDiv w:val="1"/>
      <w:marLeft w:val="0"/>
      <w:marRight w:val="0"/>
      <w:marTop w:val="0"/>
      <w:marBottom w:val="0"/>
      <w:divBdr>
        <w:top w:val="none" w:sz="0" w:space="0" w:color="auto"/>
        <w:left w:val="none" w:sz="0" w:space="0" w:color="auto"/>
        <w:bottom w:val="none" w:sz="0" w:space="0" w:color="auto"/>
        <w:right w:val="none" w:sz="0" w:space="0" w:color="auto"/>
      </w:divBdr>
    </w:div>
    <w:div w:id="1635407622">
      <w:bodyDiv w:val="1"/>
      <w:marLeft w:val="0"/>
      <w:marRight w:val="0"/>
      <w:marTop w:val="0"/>
      <w:marBottom w:val="0"/>
      <w:divBdr>
        <w:top w:val="none" w:sz="0" w:space="0" w:color="auto"/>
        <w:left w:val="none" w:sz="0" w:space="0" w:color="auto"/>
        <w:bottom w:val="none" w:sz="0" w:space="0" w:color="auto"/>
        <w:right w:val="none" w:sz="0" w:space="0" w:color="auto"/>
      </w:divBdr>
    </w:div>
    <w:div w:id="1640264878">
      <w:bodyDiv w:val="1"/>
      <w:marLeft w:val="0"/>
      <w:marRight w:val="0"/>
      <w:marTop w:val="0"/>
      <w:marBottom w:val="0"/>
      <w:divBdr>
        <w:top w:val="none" w:sz="0" w:space="0" w:color="auto"/>
        <w:left w:val="none" w:sz="0" w:space="0" w:color="auto"/>
        <w:bottom w:val="none" w:sz="0" w:space="0" w:color="auto"/>
        <w:right w:val="none" w:sz="0" w:space="0" w:color="auto"/>
      </w:divBdr>
    </w:div>
    <w:div w:id="1642808777">
      <w:bodyDiv w:val="1"/>
      <w:marLeft w:val="0"/>
      <w:marRight w:val="0"/>
      <w:marTop w:val="0"/>
      <w:marBottom w:val="0"/>
      <w:divBdr>
        <w:top w:val="none" w:sz="0" w:space="0" w:color="auto"/>
        <w:left w:val="none" w:sz="0" w:space="0" w:color="auto"/>
        <w:bottom w:val="none" w:sz="0" w:space="0" w:color="auto"/>
        <w:right w:val="none" w:sz="0" w:space="0" w:color="auto"/>
      </w:divBdr>
    </w:div>
    <w:div w:id="1673217853">
      <w:bodyDiv w:val="1"/>
      <w:marLeft w:val="0"/>
      <w:marRight w:val="0"/>
      <w:marTop w:val="0"/>
      <w:marBottom w:val="0"/>
      <w:divBdr>
        <w:top w:val="none" w:sz="0" w:space="0" w:color="auto"/>
        <w:left w:val="none" w:sz="0" w:space="0" w:color="auto"/>
        <w:bottom w:val="none" w:sz="0" w:space="0" w:color="auto"/>
        <w:right w:val="none" w:sz="0" w:space="0" w:color="auto"/>
      </w:divBdr>
    </w:div>
    <w:div w:id="1695420155">
      <w:bodyDiv w:val="1"/>
      <w:marLeft w:val="0"/>
      <w:marRight w:val="0"/>
      <w:marTop w:val="0"/>
      <w:marBottom w:val="0"/>
      <w:divBdr>
        <w:top w:val="none" w:sz="0" w:space="0" w:color="auto"/>
        <w:left w:val="none" w:sz="0" w:space="0" w:color="auto"/>
        <w:bottom w:val="none" w:sz="0" w:space="0" w:color="auto"/>
        <w:right w:val="none" w:sz="0" w:space="0" w:color="auto"/>
      </w:divBdr>
    </w:div>
    <w:div w:id="1711882886">
      <w:bodyDiv w:val="1"/>
      <w:marLeft w:val="0"/>
      <w:marRight w:val="0"/>
      <w:marTop w:val="0"/>
      <w:marBottom w:val="0"/>
      <w:divBdr>
        <w:top w:val="none" w:sz="0" w:space="0" w:color="auto"/>
        <w:left w:val="none" w:sz="0" w:space="0" w:color="auto"/>
        <w:bottom w:val="none" w:sz="0" w:space="0" w:color="auto"/>
        <w:right w:val="none" w:sz="0" w:space="0" w:color="auto"/>
      </w:divBdr>
    </w:div>
    <w:div w:id="1715037406">
      <w:bodyDiv w:val="1"/>
      <w:marLeft w:val="0"/>
      <w:marRight w:val="0"/>
      <w:marTop w:val="0"/>
      <w:marBottom w:val="0"/>
      <w:divBdr>
        <w:top w:val="none" w:sz="0" w:space="0" w:color="auto"/>
        <w:left w:val="none" w:sz="0" w:space="0" w:color="auto"/>
        <w:bottom w:val="none" w:sz="0" w:space="0" w:color="auto"/>
        <w:right w:val="none" w:sz="0" w:space="0" w:color="auto"/>
      </w:divBdr>
    </w:div>
    <w:div w:id="1725828831">
      <w:bodyDiv w:val="1"/>
      <w:marLeft w:val="0"/>
      <w:marRight w:val="0"/>
      <w:marTop w:val="0"/>
      <w:marBottom w:val="0"/>
      <w:divBdr>
        <w:top w:val="none" w:sz="0" w:space="0" w:color="auto"/>
        <w:left w:val="none" w:sz="0" w:space="0" w:color="auto"/>
        <w:bottom w:val="none" w:sz="0" w:space="0" w:color="auto"/>
        <w:right w:val="none" w:sz="0" w:space="0" w:color="auto"/>
      </w:divBdr>
    </w:div>
    <w:div w:id="1731415893">
      <w:bodyDiv w:val="1"/>
      <w:marLeft w:val="0"/>
      <w:marRight w:val="0"/>
      <w:marTop w:val="0"/>
      <w:marBottom w:val="0"/>
      <w:divBdr>
        <w:top w:val="none" w:sz="0" w:space="0" w:color="auto"/>
        <w:left w:val="none" w:sz="0" w:space="0" w:color="auto"/>
        <w:bottom w:val="none" w:sz="0" w:space="0" w:color="auto"/>
        <w:right w:val="none" w:sz="0" w:space="0" w:color="auto"/>
      </w:divBdr>
    </w:div>
    <w:div w:id="1733191817">
      <w:bodyDiv w:val="1"/>
      <w:marLeft w:val="0"/>
      <w:marRight w:val="0"/>
      <w:marTop w:val="0"/>
      <w:marBottom w:val="0"/>
      <w:divBdr>
        <w:top w:val="none" w:sz="0" w:space="0" w:color="auto"/>
        <w:left w:val="none" w:sz="0" w:space="0" w:color="auto"/>
        <w:bottom w:val="none" w:sz="0" w:space="0" w:color="auto"/>
        <w:right w:val="none" w:sz="0" w:space="0" w:color="auto"/>
      </w:divBdr>
    </w:div>
    <w:div w:id="1741365717">
      <w:bodyDiv w:val="1"/>
      <w:marLeft w:val="0"/>
      <w:marRight w:val="0"/>
      <w:marTop w:val="0"/>
      <w:marBottom w:val="0"/>
      <w:divBdr>
        <w:top w:val="none" w:sz="0" w:space="0" w:color="auto"/>
        <w:left w:val="none" w:sz="0" w:space="0" w:color="auto"/>
        <w:bottom w:val="none" w:sz="0" w:space="0" w:color="auto"/>
        <w:right w:val="none" w:sz="0" w:space="0" w:color="auto"/>
      </w:divBdr>
    </w:div>
    <w:div w:id="1745181766">
      <w:bodyDiv w:val="1"/>
      <w:marLeft w:val="0"/>
      <w:marRight w:val="0"/>
      <w:marTop w:val="0"/>
      <w:marBottom w:val="0"/>
      <w:divBdr>
        <w:top w:val="none" w:sz="0" w:space="0" w:color="auto"/>
        <w:left w:val="none" w:sz="0" w:space="0" w:color="auto"/>
        <w:bottom w:val="none" w:sz="0" w:space="0" w:color="auto"/>
        <w:right w:val="none" w:sz="0" w:space="0" w:color="auto"/>
      </w:divBdr>
    </w:div>
    <w:div w:id="1753964053">
      <w:bodyDiv w:val="1"/>
      <w:marLeft w:val="0"/>
      <w:marRight w:val="0"/>
      <w:marTop w:val="0"/>
      <w:marBottom w:val="0"/>
      <w:divBdr>
        <w:top w:val="none" w:sz="0" w:space="0" w:color="auto"/>
        <w:left w:val="none" w:sz="0" w:space="0" w:color="auto"/>
        <w:bottom w:val="none" w:sz="0" w:space="0" w:color="auto"/>
        <w:right w:val="none" w:sz="0" w:space="0" w:color="auto"/>
      </w:divBdr>
    </w:div>
    <w:div w:id="1762292499">
      <w:bodyDiv w:val="1"/>
      <w:marLeft w:val="0"/>
      <w:marRight w:val="0"/>
      <w:marTop w:val="0"/>
      <w:marBottom w:val="0"/>
      <w:divBdr>
        <w:top w:val="none" w:sz="0" w:space="0" w:color="auto"/>
        <w:left w:val="none" w:sz="0" w:space="0" w:color="auto"/>
        <w:bottom w:val="none" w:sz="0" w:space="0" w:color="auto"/>
        <w:right w:val="none" w:sz="0" w:space="0" w:color="auto"/>
      </w:divBdr>
    </w:div>
    <w:div w:id="1773470089">
      <w:bodyDiv w:val="1"/>
      <w:marLeft w:val="0"/>
      <w:marRight w:val="0"/>
      <w:marTop w:val="0"/>
      <w:marBottom w:val="0"/>
      <w:divBdr>
        <w:top w:val="none" w:sz="0" w:space="0" w:color="auto"/>
        <w:left w:val="none" w:sz="0" w:space="0" w:color="auto"/>
        <w:bottom w:val="none" w:sz="0" w:space="0" w:color="auto"/>
        <w:right w:val="none" w:sz="0" w:space="0" w:color="auto"/>
      </w:divBdr>
    </w:div>
    <w:div w:id="1774393518">
      <w:bodyDiv w:val="1"/>
      <w:marLeft w:val="0"/>
      <w:marRight w:val="0"/>
      <w:marTop w:val="0"/>
      <w:marBottom w:val="0"/>
      <w:divBdr>
        <w:top w:val="none" w:sz="0" w:space="0" w:color="auto"/>
        <w:left w:val="none" w:sz="0" w:space="0" w:color="auto"/>
        <w:bottom w:val="none" w:sz="0" w:space="0" w:color="auto"/>
        <w:right w:val="none" w:sz="0" w:space="0" w:color="auto"/>
      </w:divBdr>
    </w:div>
    <w:div w:id="1787233253">
      <w:bodyDiv w:val="1"/>
      <w:marLeft w:val="0"/>
      <w:marRight w:val="0"/>
      <w:marTop w:val="0"/>
      <w:marBottom w:val="0"/>
      <w:divBdr>
        <w:top w:val="none" w:sz="0" w:space="0" w:color="auto"/>
        <w:left w:val="none" w:sz="0" w:space="0" w:color="auto"/>
        <w:bottom w:val="none" w:sz="0" w:space="0" w:color="auto"/>
        <w:right w:val="none" w:sz="0" w:space="0" w:color="auto"/>
      </w:divBdr>
    </w:div>
    <w:div w:id="1792044913">
      <w:bodyDiv w:val="1"/>
      <w:marLeft w:val="0"/>
      <w:marRight w:val="0"/>
      <w:marTop w:val="0"/>
      <w:marBottom w:val="0"/>
      <w:divBdr>
        <w:top w:val="none" w:sz="0" w:space="0" w:color="auto"/>
        <w:left w:val="none" w:sz="0" w:space="0" w:color="auto"/>
        <w:bottom w:val="none" w:sz="0" w:space="0" w:color="auto"/>
        <w:right w:val="none" w:sz="0" w:space="0" w:color="auto"/>
      </w:divBdr>
    </w:div>
    <w:div w:id="1793014907">
      <w:bodyDiv w:val="1"/>
      <w:marLeft w:val="0"/>
      <w:marRight w:val="0"/>
      <w:marTop w:val="0"/>
      <w:marBottom w:val="0"/>
      <w:divBdr>
        <w:top w:val="none" w:sz="0" w:space="0" w:color="auto"/>
        <w:left w:val="none" w:sz="0" w:space="0" w:color="auto"/>
        <w:bottom w:val="none" w:sz="0" w:space="0" w:color="auto"/>
        <w:right w:val="none" w:sz="0" w:space="0" w:color="auto"/>
      </w:divBdr>
    </w:div>
    <w:div w:id="1797793455">
      <w:bodyDiv w:val="1"/>
      <w:marLeft w:val="0"/>
      <w:marRight w:val="0"/>
      <w:marTop w:val="0"/>
      <w:marBottom w:val="0"/>
      <w:divBdr>
        <w:top w:val="none" w:sz="0" w:space="0" w:color="auto"/>
        <w:left w:val="none" w:sz="0" w:space="0" w:color="auto"/>
        <w:bottom w:val="none" w:sz="0" w:space="0" w:color="auto"/>
        <w:right w:val="none" w:sz="0" w:space="0" w:color="auto"/>
      </w:divBdr>
    </w:div>
    <w:div w:id="1804496375">
      <w:bodyDiv w:val="1"/>
      <w:marLeft w:val="0"/>
      <w:marRight w:val="0"/>
      <w:marTop w:val="0"/>
      <w:marBottom w:val="0"/>
      <w:divBdr>
        <w:top w:val="none" w:sz="0" w:space="0" w:color="auto"/>
        <w:left w:val="none" w:sz="0" w:space="0" w:color="auto"/>
        <w:bottom w:val="none" w:sz="0" w:space="0" w:color="auto"/>
        <w:right w:val="none" w:sz="0" w:space="0" w:color="auto"/>
      </w:divBdr>
      <w:divsChild>
        <w:div w:id="2027366579">
          <w:marLeft w:val="0"/>
          <w:marRight w:val="0"/>
          <w:marTop w:val="0"/>
          <w:marBottom w:val="0"/>
          <w:divBdr>
            <w:top w:val="none" w:sz="0" w:space="0" w:color="auto"/>
            <w:left w:val="none" w:sz="0" w:space="0" w:color="auto"/>
            <w:bottom w:val="none" w:sz="0" w:space="0" w:color="auto"/>
            <w:right w:val="none" w:sz="0" w:space="0" w:color="auto"/>
          </w:divBdr>
        </w:div>
      </w:divsChild>
    </w:div>
    <w:div w:id="1829443270">
      <w:bodyDiv w:val="1"/>
      <w:marLeft w:val="0"/>
      <w:marRight w:val="0"/>
      <w:marTop w:val="0"/>
      <w:marBottom w:val="0"/>
      <w:divBdr>
        <w:top w:val="none" w:sz="0" w:space="0" w:color="auto"/>
        <w:left w:val="none" w:sz="0" w:space="0" w:color="auto"/>
        <w:bottom w:val="none" w:sz="0" w:space="0" w:color="auto"/>
        <w:right w:val="none" w:sz="0" w:space="0" w:color="auto"/>
      </w:divBdr>
    </w:div>
    <w:div w:id="1829590024">
      <w:bodyDiv w:val="1"/>
      <w:marLeft w:val="0"/>
      <w:marRight w:val="0"/>
      <w:marTop w:val="0"/>
      <w:marBottom w:val="0"/>
      <w:divBdr>
        <w:top w:val="none" w:sz="0" w:space="0" w:color="auto"/>
        <w:left w:val="none" w:sz="0" w:space="0" w:color="auto"/>
        <w:bottom w:val="none" w:sz="0" w:space="0" w:color="auto"/>
        <w:right w:val="none" w:sz="0" w:space="0" w:color="auto"/>
      </w:divBdr>
    </w:div>
    <w:div w:id="1841312184">
      <w:bodyDiv w:val="1"/>
      <w:marLeft w:val="0"/>
      <w:marRight w:val="0"/>
      <w:marTop w:val="0"/>
      <w:marBottom w:val="0"/>
      <w:divBdr>
        <w:top w:val="none" w:sz="0" w:space="0" w:color="auto"/>
        <w:left w:val="none" w:sz="0" w:space="0" w:color="auto"/>
        <w:bottom w:val="none" w:sz="0" w:space="0" w:color="auto"/>
        <w:right w:val="none" w:sz="0" w:space="0" w:color="auto"/>
      </w:divBdr>
    </w:div>
    <w:div w:id="1851410102">
      <w:bodyDiv w:val="1"/>
      <w:marLeft w:val="0"/>
      <w:marRight w:val="0"/>
      <w:marTop w:val="0"/>
      <w:marBottom w:val="0"/>
      <w:divBdr>
        <w:top w:val="none" w:sz="0" w:space="0" w:color="auto"/>
        <w:left w:val="none" w:sz="0" w:space="0" w:color="auto"/>
        <w:bottom w:val="none" w:sz="0" w:space="0" w:color="auto"/>
        <w:right w:val="none" w:sz="0" w:space="0" w:color="auto"/>
      </w:divBdr>
    </w:div>
    <w:div w:id="1855682295">
      <w:bodyDiv w:val="1"/>
      <w:marLeft w:val="0"/>
      <w:marRight w:val="0"/>
      <w:marTop w:val="0"/>
      <w:marBottom w:val="0"/>
      <w:divBdr>
        <w:top w:val="none" w:sz="0" w:space="0" w:color="auto"/>
        <w:left w:val="none" w:sz="0" w:space="0" w:color="auto"/>
        <w:bottom w:val="none" w:sz="0" w:space="0" w:color="auto"/>
        <w:right w:val="none" w:sz="0" w:space="0" w:color="auto"/>
      </w:divBdr>
    </w:div>
    <w:div w:id="1865049148">
      <w:bodyDiv w:val="1"/>
      <w:marLeft w:val="0"/>
      <w:marRight w:val="0"/>
      <w:marTop w:val="0"/>
      <w:marBottom w:val="0"/>
      <w:divBdr>
        <w:top w:val="none" w:sz="0" w:space="0" w:color="auto"/>
        <w:left w:val="none" w:sz="0" w:space="0" w:color="auto"/>
        <w:bottom w:val="none" w:sz="0" w:space="0" w:color="auto"/>
        <w:right w:val="none" w:sz="0" w:space="0" w:color="auto"/>
      </w:divBdr>
    </w:div>
    <w:div w:id="1885826948">
      <w:bodyDiv w:val="1"/>
      <w:marLeft w:val="0"/>
      <w:marRight w:val="0"/>
      <w:marTop w:val="0"/>
      <w:marBottom w:val="0"/>
      <w:divBdr>
        <w:top w:val="none" w:sz="0" w:space="0" w:color="auto"/>
        <w:left w:val="none" w:sz="0" w:space="0" w:color="auto"/>
        <w:bottom w:val="none" w:sz="0" w:space="0" w:color="auto"/>
        <w:right w:val="none" w:sz="0" w:space="0" w:color="auto"/>
      </w:divBdr>
    </w:div>
    <w:div w:id="1887139950">
      <w:bodyDiv w:val="1"/>
      <w:marLeft w:val="0"/>
      <w:marRight w:val="0"/>
      <w:marTop w:val="0"/>
      <w:marBottom w:val="0"/>
      <w:divBdr>
        <w:top w:val="none" w:sz="0" w:space="0" w:color="auto"/>
        <w:left w:val="none" w:sz="0" w:space="0" w:color="auto"/>
        <w:bottom w:val="none" w:sz="0" w:space="0" w:color="auto"/>
        <w:right w:val="none" w:sz="0" w:space="0" w:color="auto"/>
      </w:divBdr>
    </w:div>
    <w:div w:id="1892494476">
      <w:bodyDiv w:val="1"/>
      <w:marLeft w:val="0"/>
      <w:marRight w:val="0"/>
      <w:marTop w:val="0"/>
      <w:marBottom w:val="0"/>
      <w:divBdr>
        <w:top w:val="none" w:sz="0" w:space="0" w:color="auto"/>
        <w:left w:val="none" w:sz="0" w:space="0" w:color="auto"/>
        <w:bottom w:val="none" w:sz="0" w:space="0" w:color="auto"/>
        <w:right w:val="none" w:sz="0" w:space="0" w:color="auto"/>
      </w:divBdr>
    </w:div>
    <w:div w:id="1893345354">
      <w:bodyDiv w:val="1"/>
      <w:marLeft w:val="0"/>
      <w:marRight w:val="0"/>
      <w:marTop w:val="0"/>
      <w:marBottom w:val="0"/>
      <w:divBdr>
        <w:top w:val="none" w:sz="0" w:space="0" w:color="auto"/>
        <w:left w:val="none" w:sz="0" w:space="0" w:color="auto"/>
        <w:bottom w:val="none" w:sz="0" w:space="0" w:color="auto"/>
        <w:right w:val="none" w:sz="0" w:space="0" w:color="auto"/>
      </w:divBdr>
    </w:div>
    <w:div w:id="1904216394">
      <w:bodyDiv w:val="1"/>
      <w:marLeft w:val="0"/>
      <w:marRight w:val="0"/>
      <w:marTop w:val="0"/>
      <w:marBottom w:val="0"/>
      <w:divBdr>
        <w:top w:val="none" w:sz="0" w:space="0" w:color="auto"/>
        <w:left w:val="none" w:sz="0" w:space="0" w:color="auto"/>
        <w:bottom w:val="none" w:sz="0" w:space="0" w:color="auto"/>
        <w:right w:val="none" w:sz="0" w:space="0" w:color="auto"/>
      </w:divBdr>
    </w:div>
    <w:div w:id="1910576877">
      <w:bodyDiv w:val="1"/>
      <w:marLeft w:val="0"/>
      <w:marRight w:val="0"/>
      <w:marTop w:val="0"/>
      <w:marBottom w:val="0"/>
      <w:divBdr>
        <w:top w:val="none" w:sz="0" w:space="0" w:color="auto"/>
        <w:left w:val="none" w:sz="0" w:space="0" w:color="auto"/>
        <w:bottom w:val="none" w:sz="0" w:space="0" w:color="auto"/>
        <w:right w:val="none" w:sz="0" w:space="0" w:color="auto"/>
      </w:divBdr>
    </w:div>
    <w:div w:id="1928801185">
      <w:bodyDiv w:val="1"/>
      <w:marLeft w:val="0"/>
      <w:marRight w:val="0"/>
      <w:marTop w:val="0"/>
      <w:marBottom w:val="0"/>
      <w:divBdr>
        <w:top w:val="none" w:sz="0" w:space="0" w:color="auto"/>
        <w:left w:val="none" w:sz="0" w:space="0" w:color="auto"/>
        <w:bottom w:val="none" w:sz="0" w:space="0" w:color="auto"/>
        <w:right w:val="none" w:sz="0" w:space="0" w:color="auto"/>
      </w:divBdr>
    </w:div>
    <w:div w:id="1943755304">
      <w:bodyDiv w:val="1"/>
      <w:marLeft w:val="0"/>
      <w:marRight w:val="0"/>
      <w:marTop w:val="0"/>
      <w:marBottom w:val="0"/>
      <w:divBdr>
        <w:top w:val="none" w:sz="0" w:space="0" w:color="auto"/>
        <w:left w:val="none" w:sz="0" w:space="0" w:color="auto"/>
        <w:bottom w:val="none" w:sz="0" w:space="0" w:color="auto"/>
        <w:right w:val="none" w:sz="0" w:space="0" w:color="auto"/>
      </w:divBdr>
    </w:div>
    <w:div w:id="1968048234">
      <w:bodyDiv w:val="1"/>
      <w:marLeft w:val="0"/>
      <w:marRight w:val="0"/>
      <w:marTop w:val="0"/>
      <w:marBottom w:val="0"/>
      <w:divBdr>
        <w:top w:val="none" w:sz="0" w:space="0" w:color="auto"/>
        <w:left w:val="none" w:sz="0" w:space="0" w:color="auto"/>
        <w:bottom w:val="none" w:sz="0" w:space="0" w:color="auto"/>
        <w:right w:val="none" w:sz="0" w:space="0" w:color="auto"/>
      </w:divBdr>
    </w:div>
    <w:div w:id="1981301118">
      <w:bodyDiv w:val="1"/>
      <w:marLeft w:val="0"/>
      <w:marRight w:val="0"/>
      <w:marTop w:val="0"/>
      <w:marBottom w:val="0"/>
      <w:divBdr>
        <w:top w:val="none" w:sz="0" w:space="0" w:color="auto"/>
        <w:left w:val="none" w:sz="0" w:space="0" w:color="auto"/>
        <w:bottom w:val="none" w:sz="0" w:space="0" w:color="auto"/>
        <w:right w:val="none" w:sz="0" w:space="0" w:color="auto"/>
      </w:divBdr>
    </w:div>
    <w:div w:id="1992126698">
      <w:bodyDiv w:val="1"/>
      <w:marLeft w:val="0"/>
      <w:marRight w:val="0"/>
      <w:marTop w:val="0"/>
      <w:marBottom w:val="0"/>
      <w:divBdr>
        <w:top w:val="none" w:sz="0" w:space="0" w:color="auto"/>
        <w:left w:val="none" w:sz="0" w:space="0" w:color="auto"/>
        <w:bottom w:val="none" w:sz="0" w:space="0" w:color="auto"/>
        <w:right w:val="none" w:sz="0" w:space="0" w:color="auto"/>
      </w:divBdr>
    </w:div>
    <w:div w:id="1992908472">
      <w:bodyDiv w:val="1"/>
      <w:marLeft w:val="0"/>
      <w:marRight w:val="0"/>
      <w:marTop w:val="0"/>
      <w:marBottom w:val="0"/>
      <w:divBdr>
        <w:top w:val="none" w:sz="0" w:space="0" w:color="auto"/>
        <w:left w:val="none" w:sz="0" w:space="0" w:color="auto"/>
        <w:bottom w:val="none" w:sz="0" w:space="0" w:color="auto"/>
        <w:right w:val="none" w:sz="0" w:space="0" w:color="auto"/>
      </w:divBdr>
    </w:div>
    <w:div w:id="2004889000">
      <w:bodyDiv w:val="1"/>
      <w:marLeft w:val="0"/>
      <w:marRight w:val="0"/>
      <w:marTop w:val="0"/>
      <w:marBottom w:val="0"/>
      <w:divBdr>
        <w:top w:val="none" w:sz="0" w:space="0" w:color="auto"/>
        <w:left w:val="none" w:sz="0" w:space="0" w:color="auto"/>
        <w:bottom w:val="none" w:sz="0" w:space="0" w:color="auto"/>
        <w:right w:val="none" w:sz="0" w:space="0" w:color="auto"/>
      </w:divBdr>
    </w:div>
    <w:div w:id="2018845904">
      <w:bodyDiv w:val="1"/>
      <w:marLeft w:val="0"/>
      <w:marRight w:val="0"/>
      <w:marTop w:val="0"/>
      <w:marBottom w:val="0"/>
      <w:divBdr>
        <w:top w:val="none" w:sz="0" w:space="0" w:color="auto"/>
        <w:left w:val="none" w:sz="0" w:space="0" w:color="auto"/>
        <w:bottom w:val="none" w:sz="0" w:space="0" w:color="auto"/>
        <w:right w:val="none" w:sz="0" w:space="0" w:color="auto"/>
      </w:divBdr>
    </w:div>
    <w:div w:id="2022464881">
      <w:bodyDiv w:val="1"/>
      <w:marLeft w:val="0"/>
      <w:marRight w:val="0"/>
      <w:marTop w:val="0"/>
      <w:marBottom w:val="0"/>
      <w:divBdr>
        <w:top w:val="none" w:sz="0" w:space="0" w:color="auto"/>
        <w:left w:val="none" w:sz="0" w:space="0" w:color="auto"/>
        <w:bottom w:val="none" w:sz="0" w:space="0" w:color="auto"/>
        <w:right w:val="none" w:sz="0" w:space="0" w:color="auto"/>
      </w:divBdr>
    </w:div>
    <w:div w:id="2039308245">
      <w:bodyDiv w:val="1"/>
      <w:marLeft w:val="0"/>
      <w:marRight w:val="0"/>
      <w:marTop w:val="0"/>
      <w:marBottom w:val="0"/>
      <w:divBdr>
        <w:top w:val="none" w:sz="0" w:space="0" w:color="auto"/>
        <w:left w:val="none" w:sz="0" w:space="0" w:color="auto"/>
        <w:bottom w:val="none" w:sz="0" w:space="0" w:color="auto"/>
        <w:right w:val="none" w:sz="0" w:space="0" w:color="auto"/>
      </w:divBdr>
    </w:div>
    <w:div w:id="2039619196">
      <w:bodyDiv w:val="1"/>
      <w:marLeft w:val="0"/>
      <w:marRight w:val="0"/>
      <w:marTop w:val="0"/>
      <w:marBottom w:val="0"/>
      <w:divBdr>
        <w:top w:val="none" w:sz="0" w:space="0" w:color="auto"/>
        <w:left w:val="none" w:sz="0" w:space="0" w:color="auto"/>
        <w:bottom w:val="none" w:sz="0" w:space="0" w:color="auto"/>
        <w:right w:val="none" w:sz="0" w:space="0" w:color="auto"/>
      </w:divBdr>
    </w:div>
    <w:div w:id="2042123929">
      <w:bodyDiv w:val="1"/>
      <w:marLeft w:val="0"/>
      <w:marRight w:val="0"/>
      <w:marTop w:val="0"/>
      <w:marBottom w:val="0"/>
      <w:divBdr>
        <w:top w:val="none" w:sz="0" w:space="0" w:color="auto"/>
        <w:left w:val="none" w:sz="0" w:space="0" w:color="auto"/>
        <w:bottom w:val="none" w:sz="0" w:space="0" w:color="auto"/>
        <w:right w:val="none" w:sz="0" w:space="0" w:color="auto"/>
      </w:divBdr>
    </w:div>
    <w:div w:id="2049721788">
      <w:bodyDiv w:val="1"/>
      <w:marLeft w:val="0"/>
      <w:marRight w:val="0"/>
      <w:marTop w:val="0"/>
      <w:marBottom w:val="0"/>
      <w:divBdr>
        <w:top w:val="none" w:sz="0" w:space="0" w:color="auto"/>
        <w:left w:val="none" w:sz="0" w:space="0" w:color="auto"/>
        <w:bottom w:val="none" w:sz="0" w:space="0" w:color="auto"/>
        <w:right w:val="none" w:sz="0" w:space="0" w:color="auto"/>
      </w:divBdr>
    </w:div>
    <w:div w:id="2049790550">
      <w:bodyDiv w:val="1"/>
      <w:marLeft w:val="0"/>
      <w:marRight w:val="0"/>
      <w:marTop w:val="0"/>
      <w:marBottom w:val="0"/>
      <w:divBdr>
        <w:top w:val="none" w:sz="0" w:space="0" w:color="auto"/>
        <w:left w:val="none" w:sz="0" w:space="0" w:color="auto"/>
        <w:bottom w:val="none" w:sz="0" w:space="0" w:color="auto"/>
        <w:right w:val="none" w:sz="0" w:space="0" w:color="auto"/>
      </w:divBdr>
    </w:div>
    <w:div w:id="2061781231">
      <w:bodyDiv w:val="1"/>
      <w:marLeft w:val="0"/>
      <w:marRight w:val="0"/>
      <w:marTop w:val="0"/>
      <w:marBottom w:val="0"/>
      <w:divBdr>
        <w:top w:val="none" w:sz="0" w:space="0" w:color="auto"/>
        <w:left w:val="none" w:sz="0" w:space="0" w:color="auto"/>
        <w:bottom w:val="none" w:sz="0" w:space="0" w:color="auto"/>
        <w:right w:val="none" w:sz="0" w:space="0" w:color="auto"/>
      </w:divBdr>
    </w:div>
    <w:div w:id="2080903812">
      <w:bodyDiv w:val="1"/>
      <w:marLeft w:val="0"/>
      <w:marRight w:val="0"/>
      <w:marTop w:val="0"/>
      <w:marBottom w:val="0"/>
      <w:divBdr>
        <w:top w:val="none" w:sz="0" w:space="0" w:color="auto"/>
        <w:left w:val="none" w:sz="0" w:space="0" w:color="auto"/>
        <w:bottom w:val="none" w:sz="0" w:space="0" w:color="auto"/>
        <w:right w:val="none" w:sz="0" w:space="0" w:color="auto"/>
      </w:divBdr>
    </w:div>
    <w:div w:id="2089886970">
      <w:bodyDiv w:val="1"/>
      <w:marLeft w:val="0"/>
      <w:marRight w:val="0"/>
      <w:marTop w:val="0"/>
      <w:marBottom w:val="0"/>
      <w:divBdr>
        <w:top w:val="none" w:sz="0" w:space="0" w:color="auto"/>
        <w:left w:val="none" w:sz="0" w:space="0" w:color="auto"/>
        <w:bottom w:val="none" w:sz="0" w:space="0" w:color="auto"/>
        <w:right w:val="none" w:sz="0" w:space="0" w:color="auto"/>
      </w:divBdr>
    </w:div>
    <w:div w:id="2100179665">
      <w:bodyDiv w:val="1"/>
      <w:marLeft w:val="0"/>
      <w:marRight w:val="0"/>
      <w:marTop w:val="0"/>
      <w:marBottom w:val="0"/>
      <w:divBdr>
        <w:top w:val="none" w:sz="0" w:space="0" w:color="auto"/>
        <w:left w:val="none" w:sz="0" w:space="0" w:color="auto"/>
        <w:bottom w:val="none" w:sz="0" w:space="0" w:color="auto"/>
        <w:right w:val="none" w:sz="0" w:space="0" w:color="auto"/>
      </w:divBdr>
    </w:div>
    <w:div w:id="2112508438">
      <w:bodyDiv w:val="1"/>
      <w:marLeft w:val="0"/>
      <w:marRight w:val="0"/>
      <w:marTop w:val="0"/>
      <w:marBottom w:val="0"/>
      <w:divBdr>
        <w:top w:val="none" w:sz="0" w:space="0" w:color="auto"/>
        <w:left w:val="none" w:sz="0" w:space="0" w:color="auto"/>
        <w:bottom w:val="none" w:sz="0" w:space="0" w:color="auto"/>
        <w:right w:val="none" w:sz="0" w:space="0" w:color="auto"/>
      </w:divBdr>
    </w:div>
    <w:div w:id="21137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accountability/apr/" TargetMode="External"/><Relationship Id="rId13" Type="http://schemas.openxmlformats.org/officeDocument/2006/relationships/hyperlink" Target="http://www.birth23.org/Accountability/PR/PublicReporting.htm" TargetMode="External"/><Relationship Id="rId18" Type="http://schemas.openxmlformats.org/officeDocument/2006/relationships/hyperlink" Target="http://birth23.org/accountability/accountability.html" TargetMode="External"/><Relationship Id="rId26" Type="http://schemas.openxmlformats.org/officeDocument/2006/relationships/hyperlink" Target="http://tadnet.public.tadnet.org/pages/712" TargetMode="External"/><Relationship Id="rId3" Type="http://schemas.microsoft.com/office/2007/relationships/stylesWithEffects" Target="stylesWithEffects.xml"/><Relationship Id="rId21" Type="http://schemas.openxmlformats.org/officeDocument/2006/relationships/hyperlink" Target="http://www.birth23.org/Accountability/PR/PublicReporting.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irth23.org" TargetMode="External"/><Relationship Id="rId25" Type="http://schemas.openxmlformats.org/officeDocument/2006/relationships/chart" Target="charts/chart2.xml"/><Relationship Id="rId33" Type="http://schemas.openxmlformats.org/officeDocument/2006/relationships/hyperlink" Target="http://www.birth23.org/accountability/spp/" TargetMode="External"/><Relationship Id="rId2" Type="http://schemas.openxmlformats.org/officeDocument/2006/relationships/styles" Target="styles.xml"/><Relationship Id="rId16" Type="http://schemas.openxmlformats.org/officeDocument/2006/relationships/hyperlink" Target="http://www.birth23.org/Accountability/PR/PublicReporting.htm" TargetMode="External"/><Relationship Id="rId20" Type="http://schemas.openxmlformats.org/officeDocument/2006/relationships/hyperlink" Target="http://www.birth23.org/accountability/spp/" TargetMode="External"/><Relationship Id="rId29" Type="http://schemas.openxmlformats.org/officeDocument/2006/relationships/hyperlink" Target="http://www.birth23.org/accountability/618data/618tb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tadnet.public.tadnet.org/pages/712" TargetMode="External"/><Relationship Id="rId32" Type="http://schemas.openxmlformats.org/officeDocument/2006/relationships/hyperlink" Target="http://birth23.org/accountability/accountability.html" TargetMode="External"/><Relationship Id="rId5" Type="http://schemas.openxmlformats.org/officeDocument/2006/relationships/webSettings" Target="webSettings.xml"/><Relationship Id="rId15" Type="http://schemas.openxmlformats.org/officeDocument/2006/relationships/hyperlink" Target="http://birth23.org/accountability/accountability.html" TargetMode="External"/><Relationship Id="rId23" Type="http://schemas.openxmlformats.org/officeDocument/2006/relationships/chart" Target="charts/chart1.xml"/><Relationship Id="rId28" Type="http://schemas.openxmlformats.org/officeDocument/2006/relationships/hyperlink" Target="http://birth23.org/accountability/accountability.html"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birth23.org/accountability/spp/" TargetMode="External"/><Relationship Id="rId31" Type="http://schemas.openxmlformats.org/officeDocument/2006/relationships/hyperlink" Target="http://www.Birth23.org" TargetMode="External"/><Relationship Id="rId4" Type="http://schemas.openxmlformats.org/officeDocument/2006/relationships/settings" Target="settings.xml"/><Relationship Id="rId9" Type="http://schemas.openxmlformats.org/officeDocument/2006/relationships/hyperlink" Target="http://www.birth23.org/accountability/spp/" TargetMode="External"/><Relationship Id="rId14" Type="http://schemas.openxmlformats.org/officeDocument/2006/relationships/hyperlink" Target="http://www.birth23.org" TargetMode="External"/><Relationship Id="rId22" Type="http://schemas.openxmlformats.org/officeDocument/2006/relationships/hyperlink" Target="http://www.birth23.org/accountability/pr/" TargetMode="External"/><Relationship Id="rId27" Type="http://schemas.openxmlformats.org/officeDocument/2006/relationships/hyperlink" Target="http://tadnet.public.tadnet.org/pages/712" TargetMode="External"/><Relationship Id="rId30" Type="http://schemas.openxmlformats.org/officeDocument/2006/relationships/hyperlink" Target="http://birth23.org/accountability/SPP.htm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My%20Real%20Documents\SPP-APR\YeartoYearChildanFamilyOutcom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'family outcomes'!$B$1</c:f>
              <c:strCache>
                <c:ptCount val="1"/>
                <c:pt idx="0">
                  <c:v>4a</c:v>
                </c:pt>
              </c:strCache>
            </c:strRef>
          </c:tx>
          <c:spPr>
            <a:ln>
              <a:solidFill>
                <a:schemeClr val="bg1">
                  <a:lumMod val="50000"/>
                </a:schemeClr>
              </a:solidFill>
              <a:prstDash val="sysDash"/>
            </a:ln>
          </c:spPr>
          <c:marker>
            <c:symbol val="none"/>
          </c:marker>
          <c:cat>
            <c:numRef>
              <c:f>'family outcomes'!$A$2:$A$8</c:f>
              <c:numCache>
                <c:formatCode>General</c:formatCode>
                <c:ptCount val="7"/>
                <c:pt idx="0">
                  <c:v>2007</c:v>
                </c:pt>
                <c:pt idx="1">
                  <c:v>2008</c:v>
                </c:pt>
                <c:pt idx="2">
                  <c:v>2009</c:v>
                </c:pt>
                <c:pt idx="3">
                  <c:v>2010</c:v>
                </c:pt>
                <c:pt idx="4">
                  <c:v>2011</c:v>
                </c:pt>
                <c:pt idx="5">
                  <c:v>2012</c:v>
                </c:pt>
                <c:pt idx="6">
                  <c:v>2013</c:v>
                </c:pt>
              </c:numCache>
            </c:numRef>
          </c:cat>
          <c:val>
            <c:numRef>
              <c:f>'family outcomes'!$B$2:$B$8</c:f>
              <c:numCache>
                <c:formatCode>0%</c:formatCode>
                <c:ptCount val="7"/>
                <c:pt idx="0">
                  <c:v>0.79</c:v>
                </c:pt>
                <c:pt idx="1">
                  <c:v>0.82</c:v>
                </c:pt>
                <c:pt idx="2">
                  <c:v>0.85099999999999998</c:v>
                </c:pt>
                <c:pt idx="3">
                  <c:v>0.84699999999999998</c:v>
                </c:pt>
                <c:pt idx="4">
                  <c:v>0.879</c:v>
                </c:pt>
                <c:pt idx="5">
                  <c:v>0.84499999999999997</c:v>
                </c:pt>
                <c:pt idx="6">
                  <c:v>0.91200000000000003</c:v>
                </c:pt>
              </c:numCache>
            </c:numRef>
          </c:val>
          <c:smooth val="0"/>
        </c:ser>
        <c:ser>
          <c:idx val="1"/>
          <c:order val="1"/>
          <c:tx>
            <c:strRef>
              <c:f>'family outcomes'!$C$1</c:f>
              <c:strCache>
                <c:ptCount val="1"/>
                <c:pt idx="0">
                  <c:v>4b</c:v>
                </c:pt>
              </c:strCache>
            </c:strRef>
          </c:tx>
          <c:spPr>
            <a:ln>
              <a:solidFill>
                <a:schemeClr val="tx1"/>
              </a:solidFill>
            </a:ln>
          </c:spPr>
          <c:marker>
            <c:symbol val="none"/>
          </c:marker>
          <c:cat>
            <c:numRef>
              <c:f>'family outcomes'!$A$2:$A$8</c:f>
              <c:numCache>
                <c:formatCode>General</c:formatCode>
                <c:ptCount val="7"/>
                <c:pt idx="0">
                  <c:v>2007</c:v>
                </c:pt>
                <c:pt idx="1">
                  <c:v>2008</c:v>
                </c:pt>
                <c:pt idx="2">
                  <c:v>2009</c:v>
                </c:pt>
                <c:pt idx="3">
                  <c:v>2010</c:v>
                </c:pt>
                <c:pt idx="4">
                  <c:v>2011</c:v>
                </c:pt>
                <c:pt idx="5">
                  <c:v>2012</c:v>
                </c:pt>
                <c:pt idx="6">
                  <c:v>2013</c:v>
                </c:pt>
              </c:numCache>
            </c:numRef>
          </c:cat>
          <c:val>
            <c:numRef>
              <c:f>'family outcomes'!$C$2:$C$8</c:f>
              <c:numCache>
                <c:formatCode>0%</c:formatCode>
                <c:ptCount val="7"/>
                <c:pt idx="0">
                  <c:v>0.76</c:v>
                </c:pt>
                <c:pt idx="1">
                  <c:v>0.79</c:v>
                </c:pt>
                <c:pt idx="2">
                  <c:v>0.83</c:v>
                </c:pt>
                <c:pt idx="3">
                  <c:v>0.82199999999999995</c:v>
                </c:pt>
                <c:pt idx="4">
                  <c:v>0.86299999999999999</c:v>
                </c:pt>
                <c:pt idx="5">
                  <c:v>0.82699999999999996</c:v>
                </c:pt>
                <c:pt idx="6">
                  <c:v>0.89800000000000002</c:v>
                </c:pt>
              </c:numCache>
            </c:numRef>
          </c:val>
          <c:smooth val="0"/>
        </c:ser>
        <c:ser>
          <c:idx val="2"/>
          <c:order val="2"/>
          <c:tx>
            <c:strRef>
              <c:f>'family outcomes'!$D$1</c:f>
              <c:strCache>
                <c:ptCount val="1"/>
                <c:pt idx="0">
                  <c:v>4c</c:v>
                </c:pt>
              </c:strCache>
            </c:strRef>
          </c:tx>
          <c:spPr>
            <a:ln>
              <a:solidFill>
                <a:schemeClr val="bg1">
                  <a:lumMod val="75000"/>
                </a:schemeClr>
              </a:solidFill>
            </a:ln>
          </c:spPr>
          <c:marker>
            <c:symbol val="none"/>
          </c:marker>
          <c:cat>
            <c:numRef>
              <c:f>'family outcomes'!$A$2:$A$8</c:f>
              <c:numCache>
                <c:formatCode>General</c:formatCode>
                <c:ptCount val="7"/>
                <c:pt idx="0">
                  <c:v>2007</c:v>
                </c:pt>
                <c:pt idx="1">
                  <c:v>2008</c:v>
                </c:pt>
                <c:pt idx="2">
                  <c:v>2009</c:v>
                </c:pt>
                <c:pt idx="3">
                  <c:v>2010</c:v>
                </c:pt>
                <c:pt idx="4">
                  <c:v>2011</c:v>
                </c:pt>
                <c:pt idx="5">
                  <c:v>2012</c:v>
                </c:pt>
                <c:pt idx="6">
                  <c:v>2013</c:v>
                </c:pt>
              </c:numCache>
            </c:numRef>
          </c:cat>
          <c:val>
            <c:numRef>
              <c:f>'family outcomes'!$D$2:$D$8</c:f>
              <c:numCache>
                <c:formatCode>0%</c:formatCode>
                <c:ptCount val="7"/>
                <c:pt idx="0">
                  <c:v>0.89</c:v>
                </c:pt>
                <c:pt idx="1">
                  <c:v>0.91</c:v>
                </c:pt>
                <c:pt idx="2">
                  <c:v>0.92700000000000005</c:v>
                </c:pt>
                <c:pt idx="3">
                  <c:v>0.91100000000000003</c:v>
                </c:pt>
                <c:pt idx="4">
                  <c:v>0.94699999999999995</c:v>
                </c:pt>
                <c:pt idx="5">
                  <c:v>0.92300000000000004</c:v>
                </c:pt>
                <c:pt idx="6">
                  <c:v>0.95299999999999996</c:v>
                </c:pt>
              </c:numCache>
            </c:numRef>
          </c:val>
          <c:smooth val="0"/>
        </c:ser>
        <c:dLbls>
          <c:showLegendKey val="0"/>
          <c:showVal val="0"/>
          <c:showCatName val="0"/>
          <c:showSerName val="0"/>
          <c:showPercent val="0"/>
          <c:showBubbleSize val="0"/>
        </c:dLbls>
        <c:marker val="1"/>
        <c:smooth val="0"/>
        <c:axId val="101528704"/>
        <c:axId val="101530240"/>
      </c:lineChart>
      <c:catAx>
        <c:axId val="101528704"/>
        <c:scaling>
          <c:orientation val="minMax"/>
        </c:scaling>
        <c:delete val="0"/>
        <c:axPos val="b"/>
        <c:numFmt formatCode="General" sourceLinked="1"/>
        <c:majorTickMark val="out"/>
        <c:minorTickMark val="none"/>
        <c:tickLblPos val="nextTo"/>
        <c:crossAx val="101530240"/>
        <c:crosses val="autoZero"/>
        <c:auto val="1"/>
        <c:lblAlgn val="ctr"/>
        <c:lblOffset val="100"/>
        <c:noMultiLvlLbl val="0"/>
      </c:catAx>
      <c:valAx>
        <c:axId val="101530240"/>
        <c:scaling>
          <c:orientation val="minMax"/>
          <c:max val="1"/>
          <c:min val="0.70000000000000007"/>
        </c:scaling>
        <c:delete val="0"/>
        <c:axPos val="l"/>
        <c:numFmt formatCode="0%" sourceLinked="1"/>
        <c:majorTickMark val="out"/>
        <c:minorTickMark val="none"/>
        <c:tickLblPos val="nextTo"/>
        <c:crossAx val="1015287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Census Estimate</c:v>
                </c:pt>
              </c:strCache>
            </c:strRef>
          </c:tx>
          <c:spPr>
            <a:solidFill>
              <a:schemeClr val="bg1">
                <a:lumMod val="75000"/>
              </a:schemeClr>
            </a:solidFill>
            <a:ln>
              <a:solidFill>
                <a:schemeClr val="tx1"/>
              </a:solidFill>
            </a:ln>
          </c:spPr>
          <c:invertIfNegative val="0"/>
          <c:cat>
            <c:numRef>
              <c:f>Sheet1!$A$2:$A$11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Sheet1!$B$2:$B$11</c:f>
              <c:numCache>
                <c:formatCode>#,##0</c:formatCode>
                <c:ptCount val="10"/>
                <c:pt idx="0">
                  <c:v>43031</c:v>
                </c:pt>
                <c:pt idx="1">
                  <c:v>42732</c:v>
                </c:pt>
                <c:pt idx="2">
                  <c:v>41815</c:v>
                </c:pt>
                <c:pt idx="3">
                  <c:v>41496</c:v>
                </c:pt>
                <c:pt idx="4">
                  <c:v>42233</c:v>
                </c:pt>
                <c:pt idx="5">
                  <c:v>42446</c:v>
                </c:pt>
                <c:pt idx="6">
                  <c:v>41216</c:v>
                </c:pt>
                <c:pt idx="7">
                  <c:v>38012</c:v>
                </c:pt>
                <c:pt idx="8">
                  <c:v>37318</c:v>
                </c:pt>
                <c:pt idx="9">
                  <c:v>36714</c:v>
                </c:pt>
              </c:numCache>
            </c:numRef>
          </c:val>
        </c:ser>
        <c:dLbls>
          <c:showLegendKey val="0"/>
          <c:showVal val="0"/>
          <c:showCatName val="0"/>
          <c:showSerName val="0"/>
          <c:showPercent val="0"/>
          <c:showBubbleSize val="0"/>
        </c:dLbls>
        <c:gapWidth val="19"/>
        <c:axId val="101558528"/>
        <c:axId val="101556224"/>
      </c:barChart>
      <c:lineChart>
        <c:grouping val="standard"/>
        <c:varyColors val="0"/>
        <c:ser>
          <c:idx val="1"/>
          <c:order val="1"/>
          <c:tx>
            <c:strRef>
              <c:f>Sheet1!$C$1</c:f>
              <c:strCache>
                <c:ptCount val="1"/>
                <c:pt idx="0">
                  <c:v>Percent</c:v>
                </c:pt>
              </c:strCache>
            </c:strRef>
          </c:tx>
          <c:spPr>
            <a:ln>
              <a:solidFill>
                <a:schemeClr val="tx1"/>
              </a:solidFill>
            </a:ln>
          </c:spPr>
          <c:marker>
            <c:spPr>
              <a:solidFill>
                <a:schemeClr val="tx1"/>
              </a:solidFill>
              <a:ln>
                <a:solidFill>
                  <a:schemeClr val="tx1"/>
                </a:solidFill>
              </a:ln>
            </c:spPr>
          </c:marker>
          <c:cat>
            <c:numRef>
              <c:f>Sheet1!$A$2:$A$11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Sheet1!$C$2:$C$11</c:f>
              <c:numCache>
                <c:formatCode>0.00%</c:formatCode>
                <c:ptCount val="10"/>
                <c:pt idx="0">
                  <c:v>9.7000000000000003E-3</c:v>
                </c:pt>
                <c:pt idx="1">
                  <c:v>1.03E-2</c:v>
                </c:pt>
                <c:pt idx="2">
                  <c:v>9.2999999999999992E-3</c:v>
                </c:pt>
                <c:pt idx="3">
                  <c:v>1.0699999999999999E-2</c:v>
                </c:pt>
                <c:pt idx="4">
                  <c:v>9.2999999999999992E-3</c:v>
                </c:pt>
                <c:pt idx="5">
                  <c:v>1.17E-2</c:v>
                </c:pt>
                <c:pt idx="6">
                  <c:v>1.2500000000000001E-2</c:v>
                </c:pt>
                <c:pt idx="7">
                  <c:v>1.1900000000000001E-2</c:v>
                </c:pt>
                <c:pt idx="8">
                  <c:v>1.2500000000000001E-2</c:v>
                </c:pt>
                <c:pt idx="9">
                  <c:v>1.1599999999999999E-2</c:v>
                </c:pt>
              </c:numCache>
            </c:numRef>
          </c:val>
          <c:smooth val="0"/>
        </c:ser>
        <c:dLbls>
          <c:showLegendKey val="0"/>
          <c:showVal val="0"/>
          <c:showCatName val="0"/>
          <c:showSerName val="0"/>
          <c:showPercent val="0"/>
          <c:showBubbleSize val="0"/>
        </c:dLbls>
        <c:marker val="1"/>
        <c:smooth val="0"/>
        <c:axId val="101562240"/>
        <c:axId val="101560320"/>
      </c:lineChart>
      <c:valAx>
        <c:axId val="101556224"/>
        <c:scaling>
          <c:orientation val="minMax"/>
        </c:scaling>
        <c:delete val="0"/>
        <c:axPos val="r"/>
        <c:title>
          <c:tx>
            <c:rich>
              <a:bodyPr rot="-5400000" vert="horz"/>
              <a:lstStyle/>
              <a:p>
                <a:pPr>
                  <a:defRPr/>
                </a:pPr>
                <a:r>
                  <a:rPr lang="en-US"/>
                  <a:t>Census Estimates</a:t>
                </a:r>
              </a:p>
            </c:rich>
          </c:tx>
          <c:overlay val="0"/>
        </c:title>
        <c:numFmt formatCode="#,##0" sourceLinked="1"/>
        <c:majorTickMark val="out"/>
        <c:minorTickMark val="none"/>
        <c:tickLblPos val="nextTo"/>
        <c:crossAx val="101558528"/>
        <c:crosses val="max"/>
        <c:crossBetween val="between"/>
      </c:valAx>
      <c:catAx>
        <c:axId val="101558528"/>
        <c:scaling>
          <c:orientation val="minMax"/>
        </c:scaling>
        <c:delete val="0"/>
        <c:axPos val="b"/>
        <c:numFmt formatCode="General" sourceLinked="1"/>
        <c:majorTickMark val="out"/>
        <c:minorTickMark val="none"/>
        <c:tickLblPos val="nextTo"/>
        <c:crossAx val="101556224"/>
        <c:crosses val="autoZero"/>
        <c:auto val="1"/>
        <c:lblAlgn val="ctr"/>
        <c:lblOffset val="100"/>
        <c:noMultiLvlLbl val="0"/>
      </c:catAx>
      <c:valAx>
        <c:axId val="101560320"/>
        <c:scaling>
          <c:orientation val="minMax"/>
        </c:scaling>
        <c:delete val="0"/>
        <c:axPos val="l"/>
        <c:title>
          <c:tx>
            <c:rich>
              <a:bodyPr rot="-5400000" vert="horz"/>
              <a:lstStyle/>
              <a:p>
                <a:pPr>
                  <a:defRPr/>
                </a:pPr>
                <a:r>
                  <a:rPr lang="en-US"/>
                  <a:t>Pecent Under One with IFSPs </a:t>
                </a:r>
              </a:p>
            </c:rich>
          </c:tx>
          <c:overlay val="0"/>
        </c:title>
        <c:numFmt formatCode="0.00%" sourceLinked="1"/>
        <c:majorTickMark val="out"/>
        <c:minorTickMark val="none"/>
        <c:tickLblPos val="nextTo"/>
        <c:crossAx val="101562240"/>
        <c:crosses val="autoZero"/>
        <c:crossBetween val="between"/>
      </c:valAx>
      <c:catAx>
        <c:axId val="101562240"/>
        <c:scaling>
          <c:orientation val="minMax"/>
        </c:scaling>
        <c:delete val="1"/>
        <c:axPos val="b"/>
        <c:numFmt formatCode="General" sourceLinked="1"/>
        <c:majorTickMark val="out"/>
        <c:minorTickMark val="none"/>
        <c:tickLblPos val="nextTo"/>
        <c:crossAx val="101560320"/>
        <c:crosses val="autoZero"/>
        <c:auto val="1"/>
        <c:lblAlgn val="ctr"/>
        <c:lblOffset val="100"/>
        <c:tickLblSkip val="1"/>
        <c:tickMarkSkip val="1"/>
        <c:noMultiLvlLbl val="0"/>
      </c:catAx>
    </c:plotArea>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D6F916F5.dotm</Template>
  <TotalTime>2</TotalTime>
  <Pages>30</Pages>
  <Words>9811</Words>
  <Characters>55925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Part C State Annual Performance Report (APR) for  ________  (Insert FFY)</vt:lpstr>
    </vt:vector>
  </TitlesOfParts>
  <Company/>
  <LinksUpToDate>false</LinksUpToDate>
  <CharactersWithSpaces>65605</CharactersWithSpaces>
  <SharedDoc>false</SharedDoc>
  <HLinks>
    <vt:vector size="228" baseType="variant">
      <vt:variant>
        <vt:i4>7864361</vt:i4>
      </vt:variant>
      <vt:variant>
        <vt:i4>141</vt:i4>
      </vt:variant>
      <vt:variant>
        <vt:i4>0</vt:i4>
      </vt:variant>
      <vt:variant>
        <vt:i4>5</vt:i4>
      </vt:variant>
      <vt:variant>
        <vt:lpwstr>http://birth23.org/accountability/SPP.html</vt:lpwstr>
      </vt:variant>
      <vt:variant>
        <vt:lpwstr/>
      </vt:variant>
      <vt:variant>
        <vt:i4>7864361</vt:i4>
      </vt:variant>
      <vt:variant>
        <vt:i4>138</vt:i4>
      </vt:variant>
      <vt:variant>
        <vt:i4>0</vt:i4>
      </vt:variant>
      <vt:variant>
        <vt:i4>5</vt:i4>
      </vt:variant>
      <vt:variant>
        <vt:lpwstr>http://birth23.org/accountability/SPP.html</vt:lpwstr>
      </vt:variant>
      <vt:variant>
        <vt:lpwstr/>
      </vt:variant>
      <vt:variant>
        <vt:i4>3473527</vt:i4>
      </vt:variant>
      <vt:variant>
        <vt:i4>135</vt:i4>
      </vt:variant>
      <vt:variant>
        <vt:i4>0</vt:i4>
      </vt:variant>
      <vt:variant>
        <vt:i4>5</vt:i4>
      </vt:variant>
      <vt:variant>
        <vt:lpwstr>https://www.ideadata.org/PartCData.asp</vt:lpwstr>
      </vt:variant>
      <vt:variant>
        <vt:lpwstr/>
      </vt:variant>
      <vt:variant>
        <vt:i4>7864361</vt:i4>
      </vt:variant>
      <vt:variant>
        <vt:i4>132</vt:i4>
      </vt:variant>
      <vt:variant>
        <vt:i4>0</vt:i4>
      </vt:variant>
      <vt:variant>
        <vt:i4>5</vt:i4>
      </vt:variant>
      <vt:variant>
        <vt:lpwstr>http://birth23.org/accountability/SPP.html</vt:lpwstr>
      </vt:variant>
      <vt:variant>
        <vt:lpwstr/>
      </vt:variant>
      <vt:variant>
        <vt:i4>524378</vt:i4>
      </vt:variant>
      <vt:variant>
        <vt:i4>126</vt:i4>
      </vt:variant>
      <vt:variant>
        <vt:i4>0</vt:i4>
      </vt:variant>
      <vt:variant>
        <vt:i4>5</vt:i4>
      </vt:variant>
      <vt:variant>
        <vt:lpwstr>http://www2.ed.gov/fund/data/report/idea/partcvvltr/index.html</vt:lpwstr>
      </vt:variant>
      <vt:variant>
        <vt:lpwstr>ct</vt:lpwstr>
      </vt:variant>
      <vt:variant>
        <vt:i4>7864432</vt:i4>
      </vt:variant>
      <vt:variant>
        <vt:i4>105</vt:i4>
      </vt:variant>
      <vt:variant>
        <vt:i4>0</vt:i4>
      </vt:variant>
      <vt:variant>
        <vt:i4>5</vt:i4>
      </vt:variant>
      <vt:variant>
        <vt:lpwstr>http://www.birth23.org/accountability/SPP.html</vt:lpwstr>
      </vt:variant>
      <vt:variant>
        <vt:lpwstr/>
      </vt:variant>
      <vt:variant>
        <vt:i4>7864361</vt:i4>
      </vt:variant>
      <vt:variant>
        <vt:i4>102</vt:i4>
      </vt:variant>
      <vt:variant>
        <vt:i4>0</vt:i4>
      </vt:variant>
      <vt:variant>
        <vt:i4>5</vt:i4>
      </vt:variant>
      <vt:variant>
        <vt:lpwstr>http://birth23.org/accountability/SPP.html</vt:lpwstr>
      </vt:variant>
      <vt:variant>
        <vt:lpwstr/>
      </vt:variant>
      <vt:variant>
        <vt:i4>7864361</vt:i4>
      </vt:variant>
      <vt:variant>
        <vt:i4>90</vt:i4>
      </vt:variant>
      <vt:variant>
        <vt:i4>0</vt:i4>
      </vt:variant>
      <vt:variant>
        <vt:i4>5</vt:i4>
      </vt:variant>
      <vt:variant>
        <vt:lpwstr>http://birth23.org/accountability/SPP.html</vt:lpwstr>
      </vt:variant>
      <vt:variant>
        <vt:lpwstr/>
      </vt:variant>
      <vt:variant>
        <vt:i4>7864361</vt:i4>
      </vt:variant>
      <vt:variant>
        <vt:i4>87</vt:i4>
      </vt:variant>
      <vt:variant>
        <vt:i4>0</vt:i4>
      </vt:variant>
      <vt:variant>
        <vt:i4>5</vt:i4>
      </vt:variant>
      <vt:variant>
        <vt:lpwstr>http://birth23.org/accountability/SPP.html</vt:lpwstr>
      </vt:variant>
      <vt:variant>
        <vt:lpwstr/>
      </vt:variant>
      <vt:variant>
        <vt:i4>6225933</vt:i4>
      </vt:variant>
      <vt:variant>
        <vt:i4>84</vt:i4>
      </vt:variant>
      <vt:variant>
        <vt:i4>0</vt:i4>
      </vt:variant>
      <vt:variant>
        <vt:i4>5</vt:i4>
      </vt:variant>
      <vt:variant>
        <vt:lpwstr/>
      </vt:variant>
      <vt:variant>
        <vt:lpwstr>ind13</vt:lpwstr>
      </vt:variant>
      <vt:variant>
        <vt:i4>5701645</vt:i4>
      </vt:variant>
      <vt:variant>
        <vt:i4>81</vt:i4>
      </vt:variant>
      <vt:variant>
        <vt:i4>0</vt:i4>
      </vt:variant>
      <vt:variant>
        <vt:i4>5</vt:i4>
      </vt:variant>
      <vt:variant>
        <vt:lpwstr/>
      </vt:variant>
      <vt:variant>
        <vt:lpwstr>ind9</vt:lpwstr>
      </vt:variant>
      <vt:variant>
        <vt:i4>5636109</vt:i4>
      </vt:variant>
      <vt:variant>
        <vt:i4>78</vt:i4>
      </vt:variant>
      <vt:variant>
        <vt:i4>0</vt:i4>
      </vt:variant>
      <vt:variant>
        <vt:i4>5</vt:i4>
      </vt:variant>
      <vt:variant>
        <vt:lpwstr/>
      </vt:variant>
      <vt:variant>
        <vt:lpwstr>Ind8c</vt:lpwstr>
      </vt:variant>
      <vt:variant>
        <vt:i4>6094861</vt:i4>
      </vt:variant>
      <vt:variant>
        <vt:i4>75</vt:i4>
      </vt:variant>
      <vt:variant>
        <vt:i4>0</vt:i4>
      </vt:variant>
      <vt:variant>
        <vt:i4>5</vt:i4>
      </vt:variant>
      <vt:variant>
        <vt:lpwstr/>
      </vt:variant>
      <vt:variant>
        <vt:lpwstr>ind3</vt:lpwstr>
      </vt:variant>
      <vt:variant>
        <vt:i4>6225933</vt:i4>
      </vt:variant>
      <vt:variant>
        <vt:i4>72</vt:i4>
      </vt:variant>
      <vt:variant>
        <vt:i4>0</vt:i4>
      </vt:variant>
      <vt:variant>
        <vt:i4>5</vt:i4>
      </vt:variant>
      <vt:variant>
        <vt:lpwstr/>
      </vt:variant>
      <vt:variant>
        <vt:lpwstr>ind1</vt:lpwstr>
      </vt:variant>
      <vt:variant>
        <vt:i4>4259852</vt:i4>
      </vt:variant>
      <vt:variant>
        <vt:i4>69</vt:i4>
      </vt:variant>
      <vt:variant>
        <vt:i4>0</vt:i4>
      </vt:variant>
      <vt:variant>
        <vt:i4>5</vt:i4>
      </vt:variant>
      <vt:variant>
        <vt:lpwstr>http://birth23.org/accountability/accountability.html</vt:lpwstr>
      </vt:variant>
      <vt:variant>
        <vt:lpwstr/>
      </vt:variant>
      <vt:variant>
        <vt:i4>6815779</vt:i4>
      </vt:variant>
      <vt:variant>
        <vt:i4>66</vt:i4>
      </vt:variant>
      <vt:variant>
        <vt:i4>0</vt:i4>
      </vt:variant>
      <vt:variant>
        <vt:i4>5</vt:i4>
      </vt:variant>
      <vt:variant>
        <vt:lpwstr>http://www.birth23.org/</vt:lpwstr>
      </vt:variant>
      <vt:variant>
        <vt:lpwstr/>
      </vt:variant>
      <vt:variant>
        <vt:i4>4980761</vt:i4>
      </vt:variant>
      <vt:variant>
        <vt:i4>63</vt:i4>
      </vt:variant>
      <vt:variant>
        <vt:i4>0</vt:i4>
      </vt:variant>
      <vt:variant>
        <vt:i4>5</vt:i4>
      </vt:variant>
      <vt:variant>
        <vt:lpwstr>http://www.birth23.org/Accountability/PR/PublicReporting.htm</vt:lpwstr>
      </vt:variant>
      <vt:variant>
        <vt:lpwstr/>
      </vt:variant>
      <vt:variant>
        <vt:i4>1376277</vt:i4>
      </vt:variant>
      <vt:variant>
        <vt:i4>60</vt:i4>
      </vt:variant>
      <vt:variant>
        <vt:i4>0</vt:i4>
      </vt:variant>
      <vt:variant>
        <vt:i4>5</vt:i4>
      </vt:variant>
      <vt:variant>
        <vt:lpwstr/>
      </vt:variant>
      <vt:variant>
        <vt:lpwstr>attA</vt:lpwstr>
      </vt:variant>
      <vt:variant>
        <vt:i4>6225933</vt:i4>
      </vt:variant>
      <vt:variant>
        <vt:i4>57</vt:i4>
      </vt:variant>
      <vt:variant>
        <vt:i4>0</vt:i4>
      </vt:variant>
      <vt:variant>
        <vt:i4>5</vt:i4>
      </vt:variant>
      <vt:variant>
        <vt:lpwstr/>
      </vt:variant>
      <vt:variant>
        <vt:lpwstr>ind14</vt:lpwstr>
      </vt:variant>
      <vt:variant>
        <vt:i4>6225933</vt:i4>
      </vt:variant>
      <vt:variant>
        <vt:i4>54</vt:i4>
      </vt:variant>
      <vt:variant>
        <vt:i4>0</vt:i4>
      </vt:variant>
      <vt:variant>
        <vt:i4>5</vt:i4>
      </vt:variant>
      <vt:variant>
        <vt:lpwstr/>
      </vt:variant>
      <vt:variant>
        <vt:lpwstr>ind13</vt:lpwstr>
      </vt:variant>
      <vt:variant>
        <vt:i4>6225933</vt:i4>
      </vt:variant>
      <vt:variant>
        <vt:i4>51</vt:i4>
      </vt:variant>
      <vt:variant>
        <vt:i4>0</vt:i4>
      </vt:variant>
      <vt:variant>
        <vt:i4>5</vt:i4>
      </vt:variant>
      <vt:variant>
        <vt:lpwstr/>
      </vt:variant>
      <vt:variant>
        <vt:lpwstr>ind12</vt:lpwstr>
      </vt:variant>
      <vt:variant>
        <vt:i4>1376277</vt:i4>
      </vt:variant>
      <vt:variant>
        <vt:i4>48</vt:i4>
      </vt:variant>
      <vt:variant>
        <vt:i4>0</vt:i4>
      </vt:variant>
      <vt:variant>
        <vt:i4>5</vt:i4>
      </vt:variant>
      <vt:variant>
        <vt:lpwstr/>
      </vt:variant>
      <vt:variant>
        <vt:lpwstr>attA</vt:lpwstr>
      </vt:variant>
      <vt:variant>
        <vt:i4>5701645</vt:i4>
      </vt:variant>
      <vt:variant>
        <vt:i4>45</vt:i4>
      </vt:variant>
      <vt:variant>
        <vt:i4>0</vt:i4>
      </vt:variant>
      <vt:variant>
        <vt:i4>5</vt:i4>
      </vt:variant>
      <vt:variant>
        <vt:lpwstr/>
      </vt:variant>
      <vt:variant>
        <vt:lpwstr>ind9</vt:lpwstr>
      </vt:variant>
      <vt:variant>
        <vt:i4>5636109</vt:i4>
      </vt:variant>
      <vt:variant>
        <vt:i4>42</vt:i4>
      </vt:variant>
      <vt:variant>
        <vt:i4>0</vt:i4>
      </vt:variant>
      <vt:variant>
        <vt:i4>5</vt:i4>
      </vt:variant>
      <vt:variant>
        <vt:lpwstr/>
      </vt:variant>
      <vt:variant>
        <vt:lpwstr>Ind8c</vt:lpwstr>
      </vt:variant>
      <vt:variant>
        <vt:i4>5636109</vt:i4>
      </vt:variant>
      <vt:variant>
        <vt:i4>39</vt:i4>
      </vt:variant>
      <vt:variant>
        <vt:i4>0</vt:i4>
      </vt:variant>
      <vt:variant>
        <vt:i4>5</vt:i4>
      </vt:variant>
      <vt:variant>
        <vt:lpwstr/>
      </vt:variant>
      <vt:variant>
        <vt:lpwstr>Ind8b</vt:lpwstr>
      </vt:variant>
      <vt:variant>
        <vt:i4>5636109</vt:i4>
      </vt:variant>
      <vt:variant>
        <vt:i4>36</vt:i4>
      </vt:variant>
      <vt:variant>
        <vt:i4>0</vt:i4>
      </vt:variant>
      <vt:variant>
        <vt:i4>5</vt:i4>
      </vt:variant>
      <vt:variant>
        <vt:lpwstr/>
      </vt:variant>
      <vt:variant>
        <vt:lpwstr>Ind8a</vt:lpwstr>
      </vt:variant>
      <vt:variant>
        <vt:i4>5832717</vt:i4>
      </vt:variant>
      <vt:variant>
        <vt:i4>33</vt:i4>
      </vt:variant>
      <vt:variant>
        <vt:i4>0</vt:i4>
      </vt:variant>
      <vt:variant>
        <vt:i4>5</vt:i4>
      </vt:variant>
      <vt:variant>
        <vt:lpwstr/>
      </vt:variant>
      <vt:variant>
        <vt:lpwstr>ind7</vt:lpwstr>
      </vt:variant>
      <vt:variant>
        <vt:i4>5767181</vt:i4>
      </vt:variant>
      <vt:variant>
        <vt:i4>30</vt:i4>
      </vt:variant>
      <vt:variant>
        <vt:i4>0</vt:i4>
      </vt:variant>
      <vt:variant>
        <vt:i4>5</vt:i4>
      </vt:variant>
      <vt:variant>
        <vt:lpwstr/>
      </vt:variant>
      <vt:variant>
        <vt:lpwstr>ind6</vt:lpwstr>
      </vt:variant>
      <vt:variant>
        <vt:i4>5963789</vt:i4>
      </vt:variant>
      <vt:variant>
        <vt:i4>27</vt:i4>
      </vt:variant>
      <vt:variant>
        <vt:i4>0</vt:i4>
      </vt:variant>
      <vt:variant>
        <vt:i4>5</vt:i4>
      </vt:variant>
      <vt:variant>
        <vt:lpwstr/>
      </vt:variant>
      <vt:variant>
        <vt:lpwstr>ind5</vt:lpwstr>
      </vt:variant>
      <vt:variant>
        <vt:i4>5898253</vt:i4>
      </vt:variant>
      <vt:variant>
        <vt:i4>24</vt:i4>
      </vt:variant>
      <vt:variant>
        <vt:i4>0</vt:i4>
      </vt:variant>
      <vt:variant>
        <vt:i4>5</vt:i4>
      </vt:variant>
      <vt:variant>
        <vt:lpwstr/>
      </vt:variant>
      <vt:variant>
        <vt:lpwstr>ind4</vt:lpwstr>
      </vt:variant>
      <vt:variant>
        <vt:i4>5898253</vt:i4>
      </vt:variant>
      <vt:variant>
        <vt:i4>21</vt:i4>
      </vt:variant>
      <vt:variant>
        <vt:i4>0</vt:i4>
      </vt:variant>
      <vt:variant>
        <vt:i4>5</vt:i4>
      </vt:variant>
      <vt:variant>
        <vt:lpwstr/>
      </vt:variant>
      <vt:variant>
        <vt:lpwstr>ind4</vt:lpwstr>
      </vt:variant>
      <vt:variant>
        <vt:i4>5898253</vt:i4>
      </vt:variant>
      <vt:variant>
        <vt:i4>18</vt:i4>
      </vt:variant>
      <vt:variant>
        <vt:i4>0</vt:i4>
      </vt:variant>
      <vt:variant>
        <vt:i4>5</vt:i4>
      </vt:variant>
      <vt:variant>
        <vt:lpwstr/>
      </vt:variant>
      <vt:variant>
        <vt:lpwstr>ind4</vt:lpwstr>
      </vt:variant>
      <vt:variant>
        <vt:i4>6094861</vt:i4>
      </vt:variant>
      <vt:variant>
        <vt:i4>15</vt:i4>
      </vt:variant>
      <vt:variant>
        <vt:i4>0</vt:i4>
      </vt:variant>
      <vt:variant>
        <vt:i4>5</vt:i4>
      </vt:variant>
      <vt:variant>
        <vt:lpwstr/>
      </vt:variant>
      <vt:variant>
        <vt:lpwstr>ind3</vt:lpwstr>
      </vt:variant>
      <vt:variant>
        <vt:i4>6094861</vt:i4>
      </vt:variant>
      <vt:variant>
        <vt:i4>12</vt:i4>
      </vt:variant>
      <vt:variant>
        <vt:i4>0</vt:i4>
      </vt:variant>
      <vt:variant>
        <vt:i4>5</vt:i4>
      </vt:variant>
      <vt:variant>
        <vt:lpwstr/>
      </vt:variant>
      <vt:variant>
        <vt:lpwstr>ind3</vt:lpwstr>
      </vt:variant>
      <vt:variant>
        <vt:i4>6094861</vt:i4>
      </vt:variant>
      <vt:variant>
        <vt:i4>9</vt:i4>
      </vt:variant>
      <vt:variant>
        <vt:i4>0</vt:i4>
      </vt:variant>
      <vt:variant>
        <vt:i4>5</vt:i4>
      </vt:variant>
      <vt:variant>
        <vt:lpwstr/>
      </vt:variant>
      <vt:variant>
        <vt:lpwstr>ind3</vt:lpwstr>
      </vt:variant>
      <vt:variant>
        <vt:i4>6029325</vt:i4>
      </vt:variant>
      <vt:variant>
        <vt:i4>6</vt:i4>
      </vt:variant>
      <vt:variant>
        <vt:i4>0</vt:i4>
      </vt:variant>
      <vt:variant>
        <vt:i4>5</vt:i4>
      </vt:variant>
      <vt:variant>
        <vt:lpwstr/>
      </vt:variant>
      <vt:variant>
        <vt:lpwstr>ind2</vt:lpwstr>
      </vt:variant>
      <vt:variant>
        <vt:i4>6225933</vt:i4>
      </vt:variant>
      <vt:variant>
        <vt:i4>3</vt:i4>
      </vt:variant>
      <vt:variant>
        <vt:i4>0</vt:i4>
      </vt:variant>
      <vt:variant>
        <vt:i4>5</vt:i4>
      </vt:variant>
      <vt:variant>
        <vt:lpwstr/>
      </vt:variant>
      <vt:variant>
        <vt:lpwstr>ind1</vt:lpwstr>
      </vt:variant>
      <vt:variant>
        <vt:i4>4980761</vt:i4>
      </vt:variant>
      <vt:variant>
        <vt:i4>0</vt:i4>
      </vt:variant>
      <vt:variant>
        <vt:i4>0</vt:i4>
      </vt:variant>
      <vt:variant>
        <vt:i4>5</vt:i4>
      </vt:variant>
      <vt:variant>
        <vt:lpwstr>http://www.birth23.org/Accountability/PR/PublicReporting.htm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State Annual Performance Report (APR) for  ________  (Insert FFY)</dc:title>
  <dc:creator>cheron.pearson</dc:creator>
  <cp:lastModifiedBy>RidgwayA</cp:lastModifiedBy>
  <cp:revision>3</cp:revision>
  <cp:lastPrinted>2013-10-30T20:32:00Z</cp:lastPrinted>
  <dcterms:created xsi:type="dcterms:W3CDTF">2014-04-10T15:59:00Z</dcterms:created>
  <dcterms:modified xsi:type="dcterms:W3CDTF">2014-04-16T16:10:00Z</dcterms:modified>
</cp:coreProperties>
</file>