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8280"/>
      </w:tblGrid>
      <w:tr w:rsidR="00183F3A" w:rsidRPr="00024441" w:rsidTr="00E137C6">
        <w:trPr>
          <w:trHeight w:val="1170"/>
        </w:trPr>
        <w:tc>
          <w:tcPr>
            <w:tcW w:w="6210" w:type="dxa"/>
          </w:tcPr>
          <w:p w:rsidR="00183F3A" w:rsidRDefault="00896945" w:rsidP="00A95D72">
            <w:r>
              <w:rPr>
                <w:noProof/>
              </w:rPr>
              <w:drawing>
                <wp:inline distT="0" distB="0" distL="0" distR="0">
                  <wp:extent cx="828675" cy="733425"/>
                  <wp:effectExtent l="0" t="0" r="9525" b="9525"/>
                  <wp:docPr id="1" name="Picture 1" descr="Birth To Th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th To Th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183F3A" w:rsidRPr="00024441" w:rsidRDefault="00183F3A" w:rsidP="00A95D72">
            <w:pPr>
              <w:jc w:val="right"/>
              <w:rPr>
                <w:sz w:val="16"/>
                <w:szCs w:val="16"/>
              </w:rPr>
            </w:pPr>
            <w:r w:rsidRPr="00024441">
              <w:rPr>
                <w:rFonts w:cs="Arial"/>
                <w:b/>
                <w:noProof/>
                <w:sz w:val="16"/>
                <w:szCs w:val="16"/>
              </w:rPr>
              <w:drawing>
                <wp:inline distT="0" distB="0" distL="0" distR="0" wp14:anchorId="2E3B612E" wp14:editId="370BFE79">
                  <wp:extent cx="1137724" cy="714375"/>
                  <wp:effectExtent l="0" t="0" r="5715" b="0"/>
                  <wp:docPr id="4" name="Picture 4" descr="OakHillNeat_horLogo_2955_3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kHillNeat_horLogo_2955_3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862" cy="717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BAD" w:rsidRDefault="00183F3A" w:rsidP="005233C1">
      <w:pPr>
        <w:spacing w:after="0" w:line="276" w:lineRule="auto"/>
        <w:jc w:val="center"/>
        <w:rPr>
          <w:b/>
          <w:sz w:val="28"/>
        </w:rPr>
      </w:pPr>
      <w:r>
        <w:rPr>
          <w:b/>
          <w:sz w:val="28"/>
        </w:rPr>
        <w:t>NEAT</w:t>
      </w:r>
      <w:r w:rsidR="00955FC5">
        <w:rPr>
          <w:b/>
          <w:sz w:val="28"/>
        </w:rPr>
        <w:t xml:space="preserve"> Assistive Technology</w:t>
      </w:r>
      <w:r>
        <w:rPr>
          <w:b/>
          <w:sz w:val="28"/>
        </w:rPr>
        <w:t xml:space="preserve"> Services available to Birth to Three Providers</w:t>
      </w:r>
      <w:r w:rsidR="00640929">
        <w:rPr>
          <w:b/>
          <w:sz w:val="28"/>
        </w:rPr>
        <w:t xml:space="preserve"> at no charge</w:t>
      </w:r>
    </w:p>
    <w:p w:rsidR="00D73A37" w:rsidRPr="00D73A37" w:rsidRDefault="00D73A37" w:rsidP="005233C1">
      <w:pPr>
        <w:spacing w:after="0" w:line="276" w:lineRule="auto"/>
        <w:jc w:val="center"/>
        <w:rPr>
          <w:b/>
          <w:sz w:val="18"/>
        </w:rPr>
      </w:pP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1975"/>
        <w:gridCol w:w="3150"/>
        <w:gridCol w:w="3150"/>
        <w:gridCol w:w="2970"/>
        <w:gridCol w:w="3145"/>
      </w:tblGrid>
      <w:tr w:rsidR="00D73A37" w:rsidTr="00183F3A">
        <w:tc>
          <w:tcPr>
            <w:tcW w:w="197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233C1" w:rsidRPr="00C2134B" w:rsidRDefault="00183F3A" w:rsidP="00183F3A">
            <w:pPr>
              <w:spacing w:line="276" w:lineRule="auto"/>
              <w:rPr>
                <w:i/>
              </w:rPr>
            </w:pPr>
            <w:r>
              <w:rPr>
                <w:i/>
              </w:rPr>
              <w:t>NEAT Service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83F3A" w:rsidRPr="00896945" w:rsidRDefault="005233C1" w:rsidP="005233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6945">
              <w:rPr>
                <w:b/>
                <w:sz w:val="24"/>
                <w:szCs w:val="24"/>
              </w:rPr>
              <w:t xml:space="preserve">NEAT </w:t>
            </w:r>
          </w:p>
          <w:p w:rsidR="005233C1" w:rsidRPr="00896945" w:rsidRDefault="005233C1" w:rsidP="005233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6945">
              <w:rPr>
                <w:b/>
                <w:sz w:val="24"/>
                <w:szCs w:val="24"/>
              </w:rPr>
              <w:t>Purchasing Assistance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233C1" w:rsidRPr="00896945" w:rsidRDefault="005233C1" w:rsidP="005233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6945">
              <w:rPr>
                <w:b/>
                <w:sz w:val="24"/>
                <w:szCs w:val="24"/>
              </w:rPr>
              <w:t xml:space="preserve">NEAT Lending Library </w:t>
            </w:r>
          </w:p>
          <w:p w:rsidR="005233C1" w:rsidRPr="00896945" w:rsidRDefault="005233C1" w:rsidP="005233C1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896945">
              <w:rPr>
                <w:b/>
                <w:i/>
                <w:sz w:val="24"/>
                <w:szCs w:val="24"/>
              </w:rPr>
              <w:t>Short Term Loans</w:t>
            </w:r>
          </w:p>
        </w:tc>
        <w:tc>
          <w:tcPr>
            <w:tcW w:w="611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233C1" w:rsidRPr="00896945" w:rsidRDefault="005233C1" w:rsidP="005233C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96945">
              <w:rPr>
                <w:b/>
                <w:sz w:val="24"/>
                <w:szCs w:val="24"/>
              </w:rPr>
              <w:t>B23 Inventory</w:t>
            </w:r>
          </w:p>
          <w:p w:rsidR="005233C1" w:rsidRPr="00896945" w:rsidRDefault="005233C1" w:rsidP="005233C1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896945">
              <w:rPr>
                <w:b/>
                <w:i/>
                <w:sz w:val="24"/>
                <w:szCs w:val="24"/>
              </w:rPr>
              <w:t>Long Term Loans</w:t>
            </w:r>
            <w:r w:rsidR="00640929">
              <w:rPr>
                <w:b/>
                <w:i/>
                <w:sz w:val="24"/>
                <w:szCs w:val="24"/>
              </w:rPr>
              <w:t xml:space="preserve"> of Assistive Technology Devices</w:t>
            </w:r>
          </w:p>
        </w:tc>
      </w:tr>
      <w:tr w:rsidR="00955FC5" w:rsidTr="00183F3A">
        <w:tc>
          <w:tcPr>
            <w:tcW w:w="1975" w:type="dxa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</w:tcPr>
          <w:p w:rsidR="00955FC5" w:rsidRPr="00C2134B" w:rsidRDefault="00955FC5" w:rsidP="00183F3A">
            <w:pPr>
              <w:spacing w:line="276" w:lineRule="auto"/>
              <w:rPr>
                <w:i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</w:tcPr>
          <w:p w:rsidR="00955FC5" w:rsidRPr="00C2134B" w:rsidRDefault="00955FC5" w:rsidP="005233C1">
            <w:pPr>
              <w:spacing w:line="276" w:lineRule="auto"/>
              <w:jc w:val="center"/>
              <w:rPr>
                <w:b/>
              </w:rPr>
            </w:pPr>
            <w:r w:rsidRPr="005233C1">
              <w:rPr>
                <w:noProof/>
              </w:rPr>
              <w:drawing>
                <wp:inline distT="0" distB="0" distL="0" distR="0" wp14:anchorId="29BC0FD5" wp14:editId="2EB81873">
                  <wp:extent cx="1435323" cy="857250"/>
                  <wp:effectExtent l="0" t="0" r="0" b="0"/>
                  <wp:docPr id="3" name="Picture 3" descr="http://www.ezhitech.com/uploads/7/2/3/7/72378349/6140417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zhitech.com/uploads/7/2/3/7/72378349/6140417_ori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13669"/>
                          <a:stretch/>
                        </pic:blipFill>
                        <pic:spPr bwMode="auto">
                          <a:xfrm>
                            <a:off x="0" y="0"/>
                            <a:ext cx="1475977" cy="88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</w:tcPr>
          <w:p w:rsidR="00955FC5" w:rsidRPr="00C2134B" w:rsidRDefault="00955FC5" w:rsidP="005233C1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78EC4D9" wp14:editId="6B22A733">
                  <wp:extent cx="1389779" cy="869315"/>
                  <wp:effectExtent l="0" t="0" r="1270" b="6985"/>
                  <wp:docPr id="6" name="Picture 6" descr="http://www.rehabmart.com/include-mt/img-resize.asp?path=/imagesfromrd/END-4064%20Fuzzy%20Friends%20Switch%20Kit_Pediatric%20Stimulus%20Reward%20Switch%20Toys.jpg&amp;width=200&amp;height=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rehabmart.com/include-mt/img-resize.asp?path=/imagesfromrd/END-4064%20Fuzzy%20Friends%20Switch%20Kit_Pediatric%20Stimulus%20Reward%20Switch%20Toys.jpg&amp;width=200&amp;height=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927" cy="90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955FC5" w:rsidRPr="00C2134B" w:rsidRDefault="00955FC5" w:rsidP="005233C1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B753EB9" wp14:editId="4BF407F6">
                  <wp:extent cx="1422400" cy="800100"/>
                  <wp:effectExtent l="0" t="0" r="6350" b="0"/>
                  <wp:docPr id="7" name="Picture 7" descr="http://video.foxnews.com/thumbnails/i/051712/0/0/051712_appattack_autism_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video.foxnews.com/thumbnails/i/051712/0/0/051712_appattack_autism_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661" cy="806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  <w:tcBorders>
              <w:top w:val="single" w:sz="4" w:space="0" w:color="auto"/>
              <w:bottom w:val="nil"/>
            </w:tcBorders>
          </w:tcPr>
          <w:p w:rsidR="00955FC5" w:rsidRPr="00C2134B" w:rsidRDefault="00955FC5" w:rsidP="00955FC5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BE25084" wp14:editId="6437C439">
                  <wp:extent cx="723900" cy="869590"/>
                  <wp:effectExtent l="0" t="0" r="0" b="6985"/>
                  <wp:docPr id="8" name="Picture 8" descr="Image result for birth to three adaptive equi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birth to three adaptive equip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159" cy="88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904" w:rsidTr="00183F3A">
        <w:tc>
          <w:tcPr>
            <w:tcW w:w="1975" w:type="dxa"/>
            <w:tcBorders>
              <w:top w:val="nil"/>
              <w:bottom w:val="nil"/>
            </w:tcBorders>
            <w:shd w:val="clear" w:color="auto" w:fill="DEEAF6" w:themeFill="accent1" w:themeFillTint="33"/>
          </w:tcPr>
          <w:p w:rsidR="00E33904" w:rsidRPr="00C2134B" w:rsidRDefault="00E33904" w:rsidP="00183F3A">
            <w:pPr>
              <w:spacing w:line="276" w:lineRule="auto"/>
              <w:rPr>
                <w:i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E33904" w:rsidRPr="005233C1" w:rsidRDefault="00183F3A" w:rsidP="005233C1">
            <w:pPr>
              <w:spacing w:line="276" w:lineRule="auto"/>
              <w:jc w:val="center"/>
              <w:rPr>
                <w:noProof/>
              </w:rPr>
            </w:pPr>
            <w:r>
              <w:rPr>
                <w:b/>
              </w:rPr>
              <w:t>AT</w:t>
            </w:r>
            <w:r w:rsidR="00E33904" w:rsidRPr="00C2134B">
              <w:rPr>
                <w:b/>
              </w:rPr>
              <w:t xml:space="preserve"> Inquiries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:rsidR="00E33904" w:rsidRDefault="00E33904" w:rsidP="005233C1">
            <w:pPr>
              <w:spacing w:line="276" w:lineRule="auto"/>
              <w:jc w:val="center"/>
              <w:rPr>
                <w:noProof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E33904" w:rsidRDefault="00E33904" w:rsidP="005233C1">
            <w:pPr>
              <w:spacing w:line="276" w:lineRule="auto"/>
              <w:jc w:val="center"/>
              <w:rPr>
                <w:noProof/>
              </w:rPr>
            </w:pPr>
            <w:r w:rsidRPr="00C2134B">
              <w:rPr>
                <w:b/>
              </w:rPr>
              <w:t>iPad</w:t>
            </w:r>
            <w:r>
              <w:rPr>
                <w:b/>
              </w:rPr>
              <w:t>s for Communication</w:t>
            </w: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E33904" w:rsidRDefault="00E33904" w:rsidP="00955FC5">
            <w:pPr>
              <w:spacing w:line="276" w:lineRule="auto"/>
              <w:jc w:val="center"/>
              <w:rPr>
                <w:noProof/>
              </w:rPr>
            </w:pPr>
            <w:r w:rsidRPr="00C2134B">
              <w:rPr>
                <w:b/>
              </w:rPr>
              <w:t>Adaptive Equipment</w:t>
            </w:r>
          </w:p>
        </w:tc>
      </w:tr>
      <w:tr w:rsidR="00E33904" w:rsidTr="00183F3A">
        <w:tc>
          <w:tcPr>
            <w:tcW w:w="1975" w:type="dxa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</w:tcPr>
          <w:p w:rsidR="00E33904" w:rsidRPr="00C2134B" w:rsidRDefault="00183F3A" w:rsidP="00183F3A">
            <w:pPr>
              <w:spacing w:line="276" w:lineRule="auto"/>
              <w:rPr>
                <w:i/>
              </w:rPr>
            </w:pPr>
            <w:r>
              <w:rPr>
                <w:i/>
              </w:rPr>
              <w:t>Service Description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</w:tcPr>
          <w:p w:rsidR="00E33904" w:rsidRPr="00E33904" w:rsidRDefault="00E33904" w:rsidP="00640929">
            <w:pPr>
              <w:spacing w:line="276" w:lineRule="auto"/>
              <w:jc w:val="both"/>
            </w:pPr>
            <w:r w:rsidRPr="00621C18">
              <w:t>Exclusive phone, e-mail, or video conferencing</w:t>
            </w:r>
            <w:r w:rsidR="00640929">
              <w:t xml:space="preserve"> available to</w:t>
            </w:r>
            <w:r w:rsidRPr="00621C18">
              <w:t xml:space="preserve"> access information and resources from our assistive technology staff regarding the selection of appropriate and cost-effective devices</w:t>
            </w:r>
            <w:r>
              <w:t>.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</w:tcPr>
          <w:p w:rsidR="00E33904" w:rsidRDefault="00E33904" w:rsidP="00183F3A">
            <w:pPr>
              <w:spacing w:line="276" w:lineRule="auto"/>
              <w:jc w:val="both"/>
              <w:rPr>
                <w:noProof/>
              </w:rPr>
            </w:pPr>
            <w:r w:rsidRPr="00621C18">
              <w:t xml:space="preserve">Free Access to the AT Lending Library includes (but not limited to): </w:t>
            </w:r>
            <w:r>
              <w:t xml:space="preserve">switches, adapted toys and </w:t>
            </w:r>
            <w:r w:rsidRPr="00621C18">
              <w:t xml:space="preserve">communication devices </w:t>
            </w:r>
            <w:r>
              <w:t>(non-iPad)</w:t>
            </w:r>
            <w:r w:rsidRPr="00621C18">
              <w:t xml:space="preserve"> and so much more!</w:t>
            </w:r>
          </w:p>
        </w:tc>
        <w:tc>
          <w:tcPr>
            <w:tcW w:w="6115" w:type="dxa"/>
            <w:gridSpan w:val="2"/>
            <w:tcBorders>
              <w:top w:val="nil"/>
              <w:bottom w:val="single" w:sz="4" w:space="0" w:color="auto"/>
            </w:tcBorders>
          </w:tcPr>
          <w:p w:rsidR="00E33904" w:rsidRDefault="00E33904" w:rsidP="00E33904">
            <w:pPr>
              <w:spacing w:line="276" w:lineRule="auto"/>
              <w:jc w:val="both"/>
            </w:pPr>
            <w:r>
              <w:t>Free</w:t>
            </w:r>
            <w:r w:rsidRPr="008C4042">
              <w:t xml:space="preserve"> access to the Birth to Three Adaptive Equipment Inventory, managed by NEAT’s Equipment Restoration Center (ERC)</w:t>
            </w:r>
            <w:r>
              <w:t>.  Both iPads (dedicated) for communication purposes as well as adaptive equipment are available for loan.</w:t>
            </w:r>
          </w:p>
          <w:p w:rsidR="00E33904" w:rsidRDefault="00E33904" w:rsidP="00E33904">
            <w:pPr>
              <w:spacing w:line="276" w:lineRule="auto"/>
              <w:jc w:val="both"/>
            </w:pPr>
          </w:p>
          <w:p w:rsidR="00E33904" w:rsidRPr="00E33904" w:rsidRDefault="00E33904" w:rsidP="00E33904">
            <w:pPr>
              <w:spacing w:line="276" w:lineRule="auto"/>
              <w:jc w:val="both"/>
              <w:rPr>
                <w:i/>
              </w:rPr>
            </w:pPr>
            <w:r w:rsidRPr="00E33904">
              <w:rPr>
                <w:i/>
              </w:rPr>
              <w:t xml:space="preserve">NEAT also partners with third party vendors (e.g., </w:t>
            </w:r>
            <w:proofErr w:type="spellStart"/>
            <w:r w:rsidRPr="00E33904">
              <w:rPr>
                <w:i/>
              </w:rPr>
              <w:t>Rifton</w:t>
            </w:r>
            <w:proofErr w:type="spellEnd"/>
            <w:r w:rsidRPr="00E33904">
              <w:rPr>
                <w:i/>
              </w:rPr>
              <w:t xml:space="preserve">) who provide trial periods of their equipment for a specific loan period.  </w:t>
            </w:r>
          </w:p>
        </w:tc>
      </w:tr>
      <w:tr w:rsidR="00A55E06" w:rsidTr="00DD35C7">
        <w:tc>
          <w:tcPr>
            <w:tcW w:w="197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55E06" w:rsidRPr="00C2134B" w:rsidRDefault="00A55E06" w:rsidP="00183F3A">
            <w:pPr>
              <w:spacing w:line="276" w:lineRule="auto"/>
              <w:rPr>
                <w:i/>
              </w:rPr>
            </w:pPr>
            <w:r>
              <w:rPr>
                <w:i/>
              </w:rPr>
              <w:t>P</w:t>
            </w:r>
            <w:r w:rsidRPr="00C2134B">
              <w:rPr>
                <w:i/>
              </w:rPr>
              <w:t>oint of contact</w:t>
            </w:r>
          </w:p>
        </w:tc>
        <w:tc>
          <w:tcPr>
            <w:tcW w:w="1241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55E06" w:rsidRDefault="00A55E06" w:rsidP="00803F8B">
            <w:pPr>
              <w:spacing w:line="276" w:lineRule="auto"/>
              <w:jc w:val="center"/>
            </w:pPr>
            <w:r w:rsidRPr="00750556">
              <w:rPr>
                <w:b/>
                <w:bCs/>
              </w:rPr>
              <w:t>860-243-2869</w:t>
            </w:r>
          </w:p>
          <w:p w:rsidR="00A55E06" w:rsidRPr="00803F8B" w:rsidRDefault="0031706D" w:rsidP="00183F3A">
            <w:pPr>
              <w:spacing w:line="276" w:lineRule="auto"/>
              <w:contextualSpacing/>
              <w:jc w:val="center"/>
              <w:rPr>
                <w:b/>
              </w:rPr>
            </w:pPr>
            <w:hyperlink r:id="rId11" w:history="1">
              <w:r w:rsidR="00A55E06" w:rsidRPr="00750556">
                <w:rPr>
                  <w:rStyle w:val="Hyperlink"/>
                  <w:b/>
                  <w:bCs/>
                </w:rPr>
                <w:t>NEAT.B23@oakhillct.org</w:t>
              </w:r>
            </w:hyperlink>
          </w:p>
        </w:tc>
      </w:tr>
      <w:tr w:rsidR="00955FC5" w:rsidTr="00183F3A">
        <w:tc>
          <w:tcPr>
            <w:tcW w:w="1975" w:type="dxa"/>
            <w:shd w:val="clear" w:color="auto" w:fill="DEEAF6" w:themeFill="accent1" w:themeFillTint="33"/>
            <w:vAlign w:val="center"/>
          </w:tcPr>
          <w:p w:rsidR="00955FC5" w:rsidRPr="00C2134B" w:rsidRDefault="00183F3A" w:rsidP="00183F3A">
            <w:pPr>
              <w:spacing w:line="276" w:lineRule="auto"/>
              <w:rPr>
                <w:i/>
              </w:rPr>
            </w:pPr>
            <w:r>
              <w:rPr>
                <w:i/>
              </w:rPr>
              <w:t>F</w:t>
            </w:r>
            <w:r w:rsidR="00955FC5" w:rsidRPr="00C2134B">
              <w:rPr>
                <w:i/>
              </w:rPr>
              <w:t>orms required</w:t>
            </w:r>
          </w:p>
        </w:tc>
        <w:tc>
          <w:tcPr>
            <w:tcW w:w="3150" w:type="dxa"/>
          </w:tcPr>
          <w:p w:rsidR="00C101C4" w:rsidRDefault="008062C0" w:rsidP="005233C1">
            <w:pPr>
              <w:spacing w:line="276" w:lineRule="auto"/>
              <w:jc w:val="center"/>
            </w:pPr>
            <w:r>
              <w:t xml:space="preserve">Contact </w:t>
            </w:r>
            <w:r w:rsidR="00803F8B">
              <w:t>NEAT</w:t>
            </w:r>
          </w:p>
          <w:p w:rsidR="00803F8B" w:rsidRPr="005233C1" w:rsidRDefault="00803F8B" w:rsidP="005233C1">
            <w:pPr>
              <w:spacing w:line="276" w:lineRule="auto"/>
              <w:jc w:val="center"/>
            </w:pPr>
            <w:r>
              <w:t>No forms necessary</w:t>
            </w:r>
          </w:p>
        </w:tc>
        <w:tc>
          <w:tcPr>
            <w:tcW w:w="3150" w:type="dxa"/>
          </w:tcPr>
          <w:p w:rsidR="00991980" w:rsidRDefault="00896945" w:rsidP="00896945">
            <w:pPr>
              <w:spacing w:line="276" w:lineRule="auto"/>
              <w:jc w:val="center"/>
            </w:pPr>
            <w:r>
              <w:t>Contact NEAT o</w:t>
            </w:r>
            <w:r w:rsidR="00991980">
              <w:t>r download the</w:t>
            </w:r>
          </w:p>
          <w:p w:rsidR="00803F8B" w:rsidRPr="00803F8B" w:rsidRDefault="0031706D" w:rsidP="00991980">
            <w:pPr>
              <w:spacing w:line="276" w:lineRule="auto"/>
            </w:pPr>
            <w:hyperlink r:id="rId12" w:history="1">
              <w:r w:rsidR="00955FC5" w:rsidRPr="00585570">
                <w:rPr>
                  <w:rStyle w:val="Hyperlink"/>
                </w:rPr>
                <w:t>NEAT Lending Library Loan Form</w:t>
              </w:r>
            </w:hyperlink>
          </w:p>
        </w:tc>
        <w:tc>
          <w:tcPr>
            <w:tcW w:w="6115" w:type="dxa"/>
            <w:gridSpan w:val="2"/>
          </w:tcPr>
          <w:p w:rsidR="00991980" w:rsidRDefault="00803F8B" w:rsidP="00896945">
            <w:pPr>
              <w:spacing w:line="276" w:lineRule="auto"/>
              <w:jc w:val="center"/>
            </w:pPr>
            <w:r>
              <w:t>Contact NEAT</w:t>
            </w:r>
            <w:r w:rsidR="00896945">
              <w:t xml:space="preserve"> or</w:t>
            </w:r>
            <w:r w:rsidR="00991980">
              <w:t xml:space="preserve"> download the following forms</w:t>
            </w:r>
          </w:p>
          <w:p w:rsidR="00991980" w:rsidRDefault="00991980" w:rsidP="00991980">
            <w:pPr>
              <w:spacing w:line="276" w:lineRule="auto"/>
              <w:jc w:val="center"/>
            </w:pPr>
            <w:r w:rsidRPr="00991980">
              <w:rPr>
                <w:i/>
              </w:rPr>
              <w:t>Long Term Loans</w:t>
            </w:r>
          </w:p>
          <w:p w:rsidR="00803F8B" w:rsidRDefault="0031706D" w:rsidP="00896945">
            <w:pPr>
              <w:spacing w:line="276" w:lineRule="auto"/>
              <w:jc w:val="center"/>
            </w:pPr>
            <w:hyperlink r:id="rId13" w:history="1">
              <w:r w:rsidR="00803F8B" w:rsidRPr="0031706D">
                <w:rPr>
                  <w:rStyle w:val="Hyperlink"/>
                </w:rPr>
                <w:t>Birth to Three Loan Agreement Form (3-14)</w:t>
              </w:r>
            </w:hyperlink>
            <w:r w:rsidR="00803F8B">
              <w:t xml:space="preserve"> </w:t>
            </w:r>
          </w:p>
          <w:p w:rsidR="00991980" w:rsidRPr="00991980" w:rsidRDefault="00991980" w:rsidP="00991980">
            <w:pPr>
              <w:spacing w:line="276" w:lineRule="auto"/>
              <w:jc w:val="center"/>
              <w:rPr>
                <w:i/>
              </w:rPr>
            </w:pPr>
            <w:r w:rsidRPr="00803F8B">
              <w:rPr>
                <w:i/>
              </w:rPr>
              <w:t>Trial of Vendor Equipment</w:t>
            </w:r>
          </w:p>
          <w:p w:rsidR="00991980" w:rsidRDefault="0031706D" w:rsidP="00991980">
            <w:pPr>
              <w:spacing w:line="276" w:lineRule="auto"/>
              <w:jc w:val="center"/>
            </w:pPr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HYPERLINK "https://www.birth23.org/providers/provider-resources/b23forms/" </w:instrText>
            </w:r>
            <w:r>
              <w:rPr>
                <w:rStyle w:val="Hyperlink"/>
              </w:rPr>
            </w:r>
            <w:r>
              <w:rPr>
                <w:rStyle w:val="Hyperlink"/>
              </w:rPr>
              <w:fldChar w:fldCharType="separate"/>
            </w:r>
            <w:r w:rsidR="00991980" w:rsidRPr="0031706D">
              <w:rPr>
                <w:rStyle w:val="Hyperlink"/>
              </w:rPr>
              <w:t>Birth to Three Loan Agreement Form (3-13)</w:t>
            </w:r>
            <w:r>
              <w:rPr>
                <w:rStyle w:val="Hyperlink"/>
              </w:rPr>
              <w:fldChar w:fldCharType="end"/>
            </w:r>
            <w:r w:rsidR="00991980">
              <w:t xml:space="preserve"> </w:t>
            </w:r>
          </w:p>
          <w:p w:rsidR="00991980" w:rsidRDefault="00991980" w:rsidP="00803F8B">
            <w:pPr>
              <w:spacing w:line="276" w:lineRule="auto"/>
              <w:jc w:val="center"/>
            </w:pPr>
          </w:p>
          <w:p w:rsidR="00955FC5" w:rsidRDefault="00991980" w:rsidP="00896945">
            <w:pPr>
              <w:spacing w:line="276" w:lineRule="auto"/>
            </w:pPr>
            <w:r>
              <w:t>These forms, as well as</w:t>
            </w:r>
            <w:r w:rsidR="00896945">
              <w:t xml:space="preserve"> the</w:t>
            </w:r>
            <w:r>
              <w:t xml:space="preserve"> </w:t>
            </w:r>
            <w:r w:rsidR="00896945">
              <w:rPr>
                <w:rFonts w:cs="Arial"/>
              </w:rPr>
              <w:t xml:space="preserve">Birth to Three Procedure on Assistive Technology, can be found at the </w:t>
            </w:r>
            <w:hyperlink r:id="rId14" w:history="1">
              <w:r w:rsidR="00896945" w:rsidRPr="00B76BED">
                <w:rPr>
                  <w:rStyle w:val="Hyperlink"/>
                  <w:rFonts w:cs="Arial"/>
                </w:rPr>
                <w:t>CT Birth to Three website</w:t>
              </w:r>
            </w:hyperlink>
            <w:r w:rsidR="00896945">
              <w:rPr>
                <w:rFonts w:cs="Arial"/>
              </w:rPr>
              <w:t>.</w:t>
            </w:r>
          </w:p>
        </w:tc>
      </w:tr>
      <w:tr w:rsidR="009B0135" w:rsidTr="00896945">
        <w:trPr>
          <w:trHeight w:val="782"/>
        </w:trPr>
        <w:tc>
          <w:tcPr>
            <w:tcW w:w="1975" w:type="dxa"/>
            <w:shd w:val="clear" w:color="auto" w:fill="DEEAF6" w:themeFill="accent1" w:themeFillTint="33"/>
            <w:vAlign w:val="center"/>
          </w:tcPr>
          <w:p w:rsidR="009B0135" w:rsidRDefault="009B0135" w:rsidP="00183F3A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Additional </w:t>
            </w:r>
          </w:p>
          <w:p w:rsidR="009B0135" w:rsidRDefault="009B0135" w:rsidP="00183F3A">
            <w:pPr>
              <w:spacing w:line="276" w:lineRule="auto"/>
              <w:rPr>
                <w:i/>
              </w:rPr>
            </w:pPr>
            <w:r>
              <w:rPr>
                <w:i/>
              </w:rPr>
              <w:t>Forms</w:t>
            </w:r>
            <w:r w:rsidR="008062C0">
              <w:rPr>
                <w:i/>
              </w:rPr>
              <w:t xml:space="preserve"> </w:t>
            </w:r>
          </w:p>
        </w:tc>
        <w:tc>
          <w:tcPr>
            <w:tcW w:w="12415" w:type="dxa"/>
            <w:gridSpan w:val="4"/>
          </w:tcPr>
          <w:p w:rsidR="009B0135" w:rsidRDefault="00DA6DFA" w:rsidP="00803F8B">
            <w:pPr>
              <w:spacing w:line="276" w:lineRule="auto"/>
              <w:jc w:val="center"/>
            </w:pPr>
            <w:r>
              <w:t xml:space="preserve">You will NOT need to submit </w:t>
            </w:r>
            <w:hyperlink r:id="rId15" w:history="1">
              <w:r w:rsidRPr="0031706D">
                <w:rPr>
                  <w:rStyle w:val="Hyperlink"/>
                </w:rPr>
                <w:t>CT. Birth to Three Form 3-11</w:t>
              </w:r>
            </w:hyperlink>
            <w:bookmarkStart w:id="0" w:name="_GoBack"/>
            <w:bookmarkEnd w:id="0"/>
            <w:r w:rsidR="00FD5DE1">
              <w:t xml:space="preserve"> </w:t>
            </w:r>
            <w:r>
              <w:t>to NEAT</w:t>
            </w:r>
          </w:p>
          <w:p w:rsidR="00DA6DFA" w:rsidRDefault="00DA6DFA" w:rsidP="00803F8B">
            <w:pPr>
              <w:spacing w:line="276" w:lineRule="auto"/>
              <w:jc w:val="center"/>
            </w:pPr>
            <w:r>
              <w:t>You will submit Form 3-11 to the CT. Birth to Three System when see</w:t>
            </w:r>
            <w:r w:rsidR="00C62A49">
              <w:t>k</w:t>
            </w:r>
            <w:r>
              <w:t>ing reimbursement for assistive technology</w:t>
            </w:r>
          </w:p>
          <w:p w:rsidR="00DA6DFA" w:rsidRPr="00DA6DFA" w:rsidRDefault="00535043" w:rsidP="00803F8B">
            <w:pPr>
              <w:spacing w:line="276" w:lineRule="auto"/>
              <w:jc w:val="center"/>
            </w:pPr>
            <w:r>
              <w:t>Refer to</w:t>
            </w:r>
            <w:r w:rsidR="00DA6DFA">
              <w:t xml:space="preserve"> CT. Birth to Three Assistive Technology Procedure</w:t>
            </w:r>
          </w:p>
        </w:tc>
      </w:tr>
    </w:tbl>
    <w:p w:rsidR="00110381" w:rsidRDefault="00110381" w:rsidP="00896945">
      <w:pPr>
        <w:spacing w:after="0" w:line="276" w:lineRule="auto"/>
      </w:pPr>
    </w:p>
    <w:sectPr w:rsidR="00110381" w:rsidSect="005233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734A"/>
    <w:multiLevelType w:val="hybridMultilevel"/>
    <w:tmpl w:val="4018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66E00"/>
    <w:multiLevelType w:val="hybridMultilevel"/>
    <w:tmpl w:val="8AA8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C10B2"/>
    <w:multiLevelType w:val="hybridMultilevel"/>
    <w:tmpl w:val="4BF6A092"/>
    <w:lvl w:ilvl="0" w:tplc="85769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D65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85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9AD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4E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C25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C42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EAE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0F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AC64576"/>
    <w:multiLevelType w:val="hybridMultilevel"/>
    <w:tmpl w:val="24A2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23063"/>
    <w:multiLevelType w:val="hybridMultilevel"/>
    <w:tmpl w:val="2ABCB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60990"/>
    <w:multiLevelType w:val="hybridMultilevel"/>
    <w:tmpl w:val="10E2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C1"/>
    <w:rsid w:val="00086C7A"/>
    <w:rsid w:val="000C46CE"/>
    <w:rsid w:val="00110381"/>
    <w:rsid w:val="00183F3A"/>
    <w:rsid w:val="001A4351"/>
    <w:rsid w:val="0031706D"/>
    <w:rsid w:val="005233C1"/>
    <w:rsid w:val="00535043"/>
    <w:rsid w:val="00585570"/>
    <w:rsid w:val="00621C18"/>
    <w:rsid w:val="00640929"/>
    <w:rsid w:val="0070125F"/>
    <w:rsid w:val="00750556"/>
    <w:rsid w:val="00803F8B"/>
    <w:rsid w:val="008062C0"/>
    <w:rsid w:val="008928CC"/>
    <w:rsid w:val="00896945"/>
    <w:rsid w:val="008C4042"/>
    <w:rsid w:val="00955FC5"/>
    <w:rsid w:val="00991980"/>
    <w:rsid w:val="009B0135"/>
    <w:rsid w:val="00A55E06"/>
    <w:rsid w:val="00AA0E28"/>
    <w:rsid w:val="00B76BED"/>
    <w:rsid w:val="00BF5AE4"/>
    <w:rsid w:val="00C101C4"/>
    <w:rsid w:val="00C2134B"/>
    <w:rsid w:val="00C62A49"/>
    <w:rsid w:val="00C71865"/>
    <w:rsid w:val="00D73A37"/>
    <w:rsid w:val="00DA6DFA"/>
    <w:rsid w:val="00DD585A"/>
    <w:rsid w:val="00E137C6"/>
    <w:rsid w:val="00E33904"/>
    <w:rsid w:val="00EF3BAD"/>
    <w:rsid w:val="00F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2946F5-78F5-4B6A-ABB1-474FEE6D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3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05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birth23.org/providers/provider-resources/b23for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NEAT%20LendingLibraryForm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NEAT.B23@oakhillct.or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birth23.org/providers/provider-resources/b23forms/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birth23.org/providers/provider-resources/b23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Feeney</dc:creator>
  <cp:lastModifiedBy>Bamonte, Linda</cp:lastModifiedBy>
  <cp:revision>7</cp:revision>
  <cp:lastPrinted>2017-01-13T13:31:00Z</cp:lastPrinted>
  <dcterms:created xsi:type="dcterms:W3CDTF">2017-05-05T13:07:00Z</dcterms:created>
  <dcterms:modified xsi:type="dcterms:W3CDTF">2019-03-30T15:23:00Z</dcterms:modified>
</cp:coreProperties>
</file>