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5E2E" w14:textId="77777777" w:rsidR="00155243" w:rsidRPr="0057104C" w:rsidRDefault="00155243">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5490"/>
        <w:gridCol w:w="2610"/>
      </w:tblGrid>
      <w:tr w:rsidR="008937CD" w:rsidRPr="0057016D" w14:paraId="3804CA6E" w14:textId="77777777" w:rsidTr="009942D5">
        <w:tc>
          <w:tcPr>
            <w:tcW w:w="8298" w:type="dxa"/>
            <w:gridSpan w:val="2"/>
          </w:tcPr>
          <w:p w14:paraId="51CEF75B" w14:textId="77777777" w:rsidR="008937CD" w:rsidRPr="0057016D" w:rsidRDefault="008937CD" w:rsidP="009942D5">
            <w:pPr>
              <w:rPr>
                <w:rFonts w:cs="Arial"/>
                <w:sz w:val="20"/>
                <w:lang w:val="pt-BR"/>
              </w:rPr>
            </w:pPr>
            <w:r w:rsidRPr="0057016D">
              <w:rPr>
                <w:rFonts w:cs="Arial"/>
                <w:sz w:val="20"/>
                <w:lang w:val="pt-BR"/>
              </w:rPr>
              <w:t>Nome da criança:</w:t>
            </w:r>
          </w:p>
          <w:p w14:paraId="0BF44670" w14:textId="77777777" w:rsidR="008937CD" w:rsidRPr="0057016D" w:rsidRDefault="008937CD" w:rsidP="009942D5">
            <w:pPr>
              <w:rPr>
                <w:rFonts w:cs="Arial"/>
                <w:sz w:val="4"/>
                <w:szCs w:val="4"/>
                <w:lang w:val="pt-BR"/>
              </w:rPr>
            </w:pPr>
          </w:p>
          <w:p w14:paraId="353EEB23" w14:textId="77777777" w:rsidR="008937CD" w:rsidRPr="0057016D" w:rsidRDefault="008937CD" w:rsidP="009942D5">
            <w:pPr>
              <w:tabs>
                <w:tab w:val="left" w:pos="3870"/>
                <w:tab w:val="left" w:pos="6300"/>
              </w:tabs>
              <w:ind w:left="1350"/>
              <w:rPr>
                <w:rFonts w:cs="Arial"/>
                <w:sz w:val="16"/>
                <w:szCs w:val="16"/>
                <w:lang w:val="pt-BR"/>
              </w:rPr>
            </w:pPr>
            <w:r w:rsidRPr="0057016D">
              <w:rPr>
                <w:rFonts w:cs="Arial"/>
                <w:sz w:val="16"/>
                <w:szCs w:val="16"/>
                <w:lang w:val="pt-BR"/>
              </w:rPr>
              <w:t>Nome:</w:t>
            </w:r>
            <w:r w:rsidRPr="0057016D">
              <w:rPr>
                <w:rFonts w:cs="Arial"/>
                <w:sz w:val="16"/>
                <w:szCs w:val="16"/>
                <w:lang w:val="pt-BR"/>
              </w:rPr>
              <w:tab/>
              <w:t>Nome do meio:</w:t>
            </w:r>
            <w:r w:rsidRPr="0057016D">
              <w:rPr>
                <w:rFonts w:cs="Arial"/>
                <w:sz w:val="16"/>
                <w:szCs w:val="16"/>
                <w:lang w:val="pt-BR"/>
              </w:rPr>
              <w:tab/>
              <w:t>Sobrenome:</w:t>
            </w:r>
          </w:p>
        </w:tc>
        <w:tc>
          <w:tcPr>
            <w:tcW w:w="2610" w:type="dxa"/>
          </w:tcPr>
          <w:p w14:paraId="49CF7D40" w14:textId="77777777" w:rsidR="008937CD" w:rsidRPr="0057016D" w:rsidRDefault="008937CD" w:rsidP="009942D5">
            <w:pPr>
              <w:rPr>
                <w:rFonts w:cs="Arial"/>
                <w:sz w:val="20"/>
              </w:rPr>
            </w:pPr>
            <w:r w:rsidRPr="0057016D">
              <w:rPr>
                <w:rFonts w:cs="Arial"/>
                <w:sz w:val="20"/>
                <w:lang w:val="pt-BR"/>
              </w:rPr>
              <w:t>N° Birth to Three:</w:t>
            </w:r>
          </w:p>
        </w:tc>
      </w:tr>
      <w:tr w:rsidR="008937CD" w:rsidRPr="0057016D" w14:paraId="412820DA" w14:textId="77777777" w:rsidTr="009942D5">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2AD6B10F" w14:textId="77777777" w:rsidR="008937CD" w:rsidRPr="0057016D" w:rsidRDefault="008937CD" w:rsidP="009942D5">
            <w:pPr>
              <w:tabs>
                <w:tab w:val="left" w:pos="360"/>
              </w:tabs>
              <w:rPr>
                <w:rFonts w:cs="Arial"/>
                <w:b/>
                <w:sz w:val="20"/>
              </w:rPr>
            </w:pPr>
            <w:r w:rsidRPr="0057016D">
              <w:rPr>
                <w:rFonts w:cs="Arial"/>
                <w:sz w:val="20"/>
                <w:lang w:val="pt-BR"/>
              </w:rPr>
              <w:t xml:space="preserve">Data de nascimento: </w:t>
            </w:r>
            <w:r w:rsidRPr="0057016D">
              <w:rPr>
                <w:rFonts w:cs="Arial"/>
                <w:i/>
                <w:iCs/>
                <w:sz w:val="14"/>
                <w:szCs w:val="14"/>
                <w:lang w:val="pt-BR"/>
              </w:rPr>
              <w:t>(verifique)</w:t>
            </w:r>
          </w:p>
          <w:p w14:paraId="095350CA" w14:textId="77777777" w:rsidR="008937CD" w:rsidRPr="0057016D" w:rsidRDefault="008937CD" w:rsidP="009942D5">
            <w:pPr>
              <w:tabs>
                <w:tab w:val="left" w:pos="360"/>
              </w:tabs>
              <w:rPr>
                <w:rFonts w:cs="Arial"/>
                <w:szCs w:val="24"/>
              </w:rPr>
            </w:pPr>
          </w:p>
        </w:tc>
        <w:tc>
          <w:tcPr>
            <w:tcW w:w="5490" w:type="dxa"/>
            <w:tcBorders>
              <w:top w:val="single" w:sz="12" w:space="0" w:color="auto"/>
              <w:left w:val="single" w:sz="6" w:space="0" w:color="auto"/>
              <w:bottom w:val="single" w:sz="12" w:space="0" w:color="auto"/>
              <w:right w:val="single" w:sz="6" w:space="0" w:color="auto"/>
            </w:tcBorders>
            <w:hideMark/>
          </w:tcPr>
          <w:p w14:paraId="5C4EFBAB" w14:textId="77777777" w:rsidR="008937CD" w:rsidRPr="0057016D" w:rsidRDefault="008937CD" w:rsidP="009942D5">
            <w:pPr>
              <w:tabs>
                <w:tab w:val="left" w:pos="360"/>
              </w:tabs>
              <w:rPr>
                <w:rFonts w:cs="Arial"/>
                <w:sz w:val="20"/>
              </w:rPr>
            </w:pPr>
            <w:r w:rsidRPr="0057016D">
              <w:rPr>
                <w:rFonts w:cs="Arial"/>
                <w:sz w:val="20"/>
              </w:rPr>
              <w:t xml:space="preserve">Nome do </w:t>
            </w:r>
            <w:proofErr w:type="spellStart"/>
            <w:r w:rsidRPr="0057016D">
              <w:rPr>
                <w:rFonts w:cs="Arial"/>
                <w:sz w:val="20"/>
              </w:rPr>
              <w:t>Programa</w:t>
            </w:r>
            <w:proofErr w:type="spellEnd"/>
            <w:r w:rsidRPr="0057016D">
              <w:rPr>
                <w:rFonts w:cs="Arial"/>
                <w:sz w:val="20"/>
              </w:rPr>
              <w:t xml:space="preserve"> Birth to Three:</w:t>
            </w:r>
          </w:p>
        </w:tc>
        <w:tc>
          <w:tcPr>
            <w:tcW w:w="2610" w:type="dxa"/>
            <w:tcBorders>
              <w:top w:val="single" w:sz="12" w:space="0" w:color="auto"/>
              <w:left w:val="single" w:sz="6" w:space="0" w:color="auto"/>
              <w:bottom w:val="single" w:sz="12" w:space="0" w:color="auto"/>
              <w:right w:val="single" w:sz="12" w:space="0" w:color="auto"/>
            </w:tcBorders>
            <w:hideMark/>
          </w:tcPr>
          <w:p w14:paraId="5D19C85B" w14:textId="77777777" w:rsidR="008937CD" w:rsidRPr="0057016D" w:rsidRDefault="008937CD" w:rsidP="009942D5">
            <w:pPr>
              <w:tabs>
                <w:tab w:val="left" w:pos="360"/>
              </w:tabs>
              <w:rPr>
                <w:rFonts w:cs="Arial"/>
                <w:sz w:val="20"/>
                <w:lang w:val="pt-BR"/>
              </w:rPr>
            </w:pPr>
            <w:r w:rsidRPr="0057016D">
              <w:rPr>
                <w:rFonts w:cs="Arial"/>
                <w:sz w:val="20"/>
                <w:lang w:val="pt-BR"/>
              </w:rPr>
              <w:t>N° de telefone do programa:</w:t>
            </w:r>
          </w:p>
        </w:tc>
      </w:tr>
    </w:tbl>
    <w:p w14:paraId="3B812436" w14:textId="77777777" w:rsidR="00090BBE" w:rsidRPr="0057016D" w:rsidRDefault="00090BBE" w:rsidP="00090BBE">
      <w:pPr>
        <w:ind w:left="-90" w:right="-180"/>
        <w:rPr>
          <w:rFonts w:cs="Arial"/>
          <w:i/>
          <w:sz w:val="18"/>
          <w:szCs w:val="18"/>
          <w:lang w:val="pt-BR"/>
        </w:rPr>
      </w:pPr>
      <w:r w:rsidRPr="0057016D">
        <w:rPr>
          <w:rFonts w:cs="Arial"/>
          <w:i/>
          <w:iCs/>
          <w:sz w:val="18"/>
          <w:szCs w:val="18"/>
          <w:lang w:val="pt-BR"/>
        </w:rPr>
        <w:t xml:space="preserve">Os serviços prestados pelo Sistema Birth to Three (Nascimento até os Três) de Connecticut para crianças qualificadas são pagos pelo Medicaid, seguros de saúde privados e fundos estaduais e federais.  </w:t>
      </w:r>
    </w:p>
    <w:p w14:paraId="6456FD5D" w14:textId="77777777" w:rsidR="00EE2545" w:rsidRPr="0057016D" w:rsidRDefault="00EE2545" w:rsidP="00EE2545">
      <w:pPr>
        <w:ind w:left="720" w:right="36" w:hanging="360"/>
        <w:rPr>
          <w:sz w:val="8"/>
          <w:szCs w:val="8"/>
          <w:lang w:val="pt-BR"/>
        </w:rPr>
      </w:pPr>
    </w:p>
    <w:p w14:paraId="7842B924" w14:textId="77777777" w:rsidR="004209A3" w:rsidRPr="0057016D" w:rsidRDefault="00A027C5" w:rsidP="00EE2545">
      <w:pPr>
        <w:ind w:right="36"/>
        <w:rPr>
          <w:sz w:val="20"/>
        </w:rPr>
      </w:pPr>
      <w:r w:rsidRPr="0057016D">
        <w:rPr>
          <w:sz w:val="20"/>
          <w:lang w:val="pt-BR"/>
        </w:rPr>
        <w:t xml:space="preserve">As leis 38a-516a e 38a-490a de Connecticut exigem que os planos de saúde ofereçam cobertura para os serviços do Birth to Three.  As leis também determinam que: </w:t>
      </w:r>
    </w:p>
    <w:p w14:paraId="32C58A8C" w14:textId="77777777" w:rsidR="004209A3" w:rsidRPr="0057016D" w:rsidRDefault="00707F06" w:rsidP="00EE2545">
      <w:pPr>
        <w:numPr>
          <w:ilvl w:val="0"/>
          <w:numId w:val="9"/>
        </w:numPr>
        <w:ind w:right="36"/>
        <w:rPr>
          <w:rFonts w:cs="Arial"/>
          <w:iCs/>
          <w:color w:val="000000"/>
          <w:sz w:val="18"/>
          <w:szCs w:val="18"/>
          <w:lang w:val="pt-BR"/>
        </w:rPr>
      </w:pPr>
      <w:r w:rsidRPr="0057016D">
        <w:rPr>
          <w:rFonts w:cs="Arial"/>
          <w:sz w:val="18"/>
          <w:szCs w:val="18"/>
          <w:lang w:val="pt-BR"/>
        </w:rPr>
        <w:t xml:space="preserve">o Sistema Birth to Three de Connecticut </w:t>
      </w:r>
      <w:r w:rsidRPr="0057016D">
        <w:rPr>
          <w:rFonts w:cs="Arial"/>
          <w:color w:val="000000"/>
          <w:sz w:val="18"/>
          <w:szCs w:val="18"/>
          <w:lang w:val="pt-BR"/>
        </w:rPr>
        <w:t xml:space="preserve">não divulgará nenhuma informação de identificação pessoal para cobrança do seguro de saúde sem consentimento dos pais;  </w:t>
      </w:r>
    </w:p>
    <w:p w14:paraId="5F60E90F" w14:textId="77777777" w:rsidR="004209A3" w:rsidRPr="0057016D" w:rsidRDefault="00707F06" w:rsidP="00EE2545">
      <w:pPr>
        <w:numPr>
          <w:ilvl w:val="0"/>
          <w:numId w:val="9"/>
        </w:numPr>
        <w:ind w:right="36"/>
        <w:rPr>
          <w:rFonts w:cs="Arial"/>
          <w:iCs/>
          <w:color w:val="000000"/>
          <w:sz w:val="18"/>
          <w:szCs w:val="18"/>
          <w:lang w:val="pt-BR"/>
        </w:rPr>
      </w:pPr>
      <w:r w:rsidRPr="0057016D">
        <w:rPr>
          <w:rFonts w:cs="Arial"/>
          <w:color w:val="000000"/>
          <w:sz w:val="18"/>
          <w:szCs w:val="18"/>
          <w:lang w:val="pt-BR"/>
        </w:rPr>
        <w:t xml:space="preserve">o estado não recolherá copagamentos nem franquias exigidos pela seguradora,  </w:t>
      </w:r>
    </w:p>
    <w:p w14:paraId="23D9DA3D" w14:textId="77777777" w:rsidR="004209A3" w:rsidRPr="0057016D" w:rsidRDefault="00707F06" w:rsidP="00EE2545">
      <w:pPr>
        <w:numPr>
          <w:ilvl w:val="0"/>
          <w:numId w:val="9"/>
        </w:numPr>
        <w:ind w:right="36"/>
        <w:rPr>
          <w:rFonts w:cs="Arial"/>
          <w:iCs/>
          <w:color w:val="000000"/>
          <w:sz w:val="18"/>
          <w:szCs w:val="18"/>
          <w:lang w:val="pt-BR"/>
        </w:rPr>
      </w:pPr>
      <w:r w:rsidRPr="0057016D">
        <w:rPr>
          <w:rFonts w:cs="Arial"/>
          <w:color w:val="000000"/>
          <w:sz w:val="18"/>
          <w:szCs w:val="18"/>
          <w:lang w:val="pt-BR"/>
        </w:rPr>
        <w:t xml:space="preserve">os pais não precisam se registrar nem se inscrever em seguros de saúde públicos ou privados para receber os serviços, </w:t>
      </w:r>
    </w:p>
    <w:p w14:paraId="77961E50" w14:textId="77777777" w:rsidR="004209A3" w:rsidRPr="0057016D" w:rsidRDefault="00707F06" w:rsidP="00EE2545">
      <w:pPr>
        <w:numPr>
          <w:ilvl w:val="0"/>
          <w:numId w:val="9"/>
        </w:numPr>
        <w:ind w:right="36"/>
        <w:rPr>
          <w:rFonts w:cs="Arial"/>
          <w:iCs/>
          <w:color w:val="000000"/>
          <w:sz w:val="18"/>
          <w:szCs w:val="18"/>
          <w:lang w:val="pt-BR"/>
        </w:rPr>
      </w:pPr>
      <w:r w:rsidRPr="0057016D">
        <w:rPr>
          <w:rFonts w:cs="Arial"/>
          <w:color w:val="000000"/>
          <w:sz w:val="18"/>
          <w:szCs w:val="18"/>
          <w:lang w:val="pt-BR"/>
        </w:rPr>
        <w:t xml:space="preserve">os pais podem revogar o consentimento para cobrar a seguradora a qualquer momento,  </w:t>
      </w:r>
    </w:p>
    <w:p w14:paraId="5515E031" w14:textId="77777777" w:rsidR="004209A3" w:rsidRPr="0057016D" w:rsidRDefault="00707F06" w:rsidP="00EE2545">
      <w:pPr>
        <w:numPr>
          <w:ilvl w:val="0"/>
          <w:numId w:val="9"/>
        </w:numPr>
        <w:ind w:right="36"/>
        <w:rPr>
          <w:rFonts w:cs="Arial"/>
          <w:sz w:val="18"/>
          <w:szCs w:val="18"/>
          <w:lang w:val="pt-BR"/>
        </w:rPr>
      </w:pPr>
      <w:r w:rsidRPr="0057016D">
        <w:rPr>
          <w:rFonts w:cs="Arial"/>
          <w:color w:val="000000"/>
          <w:sz w:val="18"/>
          <w:szCs w:val="18"/>
          <w:lang w:val="pt-BR"/>
        </w:rPr>
        <w:t>a inscrição no Birth to Three não afetará negativamente a disponibilização de seguro de saúde para a criança nem para os pais/responsáveis ou familiares da criança,</w:t>
      </w:r>
      <w:r w:rsidRPr="0057016D">
        <w:rPr>
          <w:rFonts w:cs="Arial"/>
          <w:sz w:val="18"/>
          <w:szCs w:val="18"/>
          <w:lang w:val="pt-BR"/>
        </w:rPr>
        <w:t xml:space="preserve"> </w:t>
      </w:r>
    </w:p>
    <w:p w14:paraId="43469ED4" w14:textId="77777777" w:rsidR="004209A3" w:rsidRPr="0057016D" w:rsidRDefault="00707F06" w:rsidP="00EE2545">
      <w:pPr>
        <w:numPr>
          <w:ilvl w:val="0"/>
          <w:numId w:val="9"/>
        </w:numPr>
        <w:ind w:right="36"/>
        <w:rPr>
          <w:rFonts w:cs="Arial"/>
          <w:iCs/>
          <w:color w:val="000000"/>
          <w:sz w:val="18"/>
          <w:szCs w:val="18"/>
          <w:lang w:val="pt-BR"/>
        </w:rPr>
      </w:pPr>
      <w:r w:rsidRPr="0057016D">
        <w:rPr>
          <w:rFonts w:cs="Arial"/>
          <w:color w:val="000000"/>
          <w:sz w:val="18"/>
          <w:szCs w:val="18"/>
          <w:lang w:val="pt-BR"/>
        </w:rPr>
        <w:t>a cobrança não causará aumentos nos prêmios nem a interrupção de benefícios de seguros públicos ou privados para a criança,</w:t>
      </w:r>
    </w:p>
    <w:p w14:paraId="0747FB7E" w14:textId="77777777" w:rsidR="00EE2545" w:rsidRPr="0057016D" w:rsidRDefault="00EE2545" w:rsidP="00EE2545">
      <w:pPr>
        <w:numPr>
          <w:ilvl w:val="0"/>
          <w:numId w:val="9"/>
        </w:numPr>
        <w:ind w:right="36"/>
        <w:rPr>
          <w:rFonts w:cs="Arial"/>
          <w:iCs/>
          <w:color w:val="000000"/>
          <w:sz w:val="18"/>
          <w:szCs w:val="18"/>
          <w:lang w:val="pt-BR"/>
        </w:rPr>
      </w:pPr>
      <w:r w:rsidRPr="0057016D">
        <w:rPr>
          <w:rFonts w:cs="Arial"/>
          <w:color w:val="000000"/>
          <w:sz w:val="18"/>
          <w:szCs w:val="18"/>
          <w:lang w:val="pt-BR"/>
        </w:rPr>
        <w:t xml:space="preserve">o reembolso do seguro e as taxas dos pais não ultrapassarão o custo dos serviços do estado,  </w:t>
      </w:r>
    </w:p>
    <w:p w14:paraId="6F87C765" w14:textId="77777777" w:rsidR="00A027C5" w:rsidRPr="0057016D" w:rsidRDefault="00707F06" w:rsidP="004209A3">
      <w:pPr>
        <w:ind w:left="720" w:right="36" w:hanging="360"/>
        <w:rPr>
          <w:sz w:val="8"/>
          <w:szCs w:val="8"/>
          <w:lang w:val="pt-BR"/>
        </w:rPr>
      </w:pPr>
      <w:r w:rsidRPr="0057016D">
        <w:rPr>
          <w:rFonts w:cs="Arial"/>
          <w:color w:val="000000"/>
          <w:sz w:val="8"/>
          <w:szCs w:val="8"/>
          <w:lang w:val="pt-BR"/>
        </w:rPr>
        <w:t xml:space="preserve"> </w:t>
      </w:r>
    </w:p>
    <w:p w14:paraId="46F9577D" w14:textId="77777777" w:rsidR="00A027C5" w:rsidRPr="0057016D" w:rsidRDefault="00A027C5" w:rsidP="00547A41">
      <w:pPr>
        <w:pBdr>
          <w:top w:val="single" w:sz="4" w:space="1" w:color="auto"/>
          <w:left w:val="single" w:sz="4" w:space="4" w:color="auto"/>
          <w:bottom w:val="single" w:sz="4" w:space="1" w:color="auto"/>
          <w:right w:val="single" w:sz="4" w:space="4" w:color="auto"/>
        </w:pBdr>
        <w:ind w:right="-144"/>
        <w:rPr>
          <w:sz w:val="20"/>
          <w:lang w:val="pt-BR"/>
        </w:rPr>
      </w:pPr>
      <w:r w:rsidRPr="0057016D">
        <w:rPr>
          <w:b/>
          <w:bCs/>
          <w:sz w:val="20"/>
          <w:lang w:val="pt-BR"/>
        </w:rPr>
        <w:t xml:space="preserve">Determinou-se que seu seguro de saúde é isento da legislação do estado que se aplica a seguradoras. Portanto, você pode optar por autorizar o Sistema Birth to Three a apresentar sinistros ao seu seguro </w:t>
      </w:r>
      <w:r w:rsidRPr="0057016D">
        <w:rPr>
          <w:b/>
          <w:bCs/>
          <w:sz w:val="20"/>
          <w:u w:val="single"/>
          <w:lang w:val="pt-BR"/>
        </w:rPr>
        <w:t>ou</w:t>
      </w:r>
      <w:r w:rsidRPr="0057016D">
        <w:rPr>
          <w:b/>
          <w:bCs/>
          <w:sz w:val="20"/>
          <w:lang w:val="pt-BR"/>
        </w:rPr>
        <w:t xml:space="preserve"> não autorizar os sinistros. </w:t>
      </w:r>
    </w:p>
    <w:p w14:paraId="669E4288" w14:textId="77777777" w:rsidR="00090BBE" w:rsidRPr="0057016D" w:rsidRDefault="00090BBE" w:rsidP="00090BBE">
      <w:pPr>
        <w:ind w:right="36"/>
        <w:rPr>
          <w:sz w:val="14"/>
          <w:szCs w:val="14"/>
          <w:lang w:val="pt-BR"/>
        </w:rPr>
      </w:pPr>
    </w:p>
    <w:p w14:paraId="606B395D" w14:textId="77777777" w:rsidR="00A027C5" w:rsidRPr="0057016D" w:rsidRDefault="00A027C5" w:rsidP="00DE5260">
      <w:pPr>
        <w:ind w:right="-144"/>
        <w:rPr>
          <w:sz w:val="20"/>
          <w:lang w:val="pt-BR"/>
        </w:rPr>
      </w:pPr>
      <w:r w:rsidRPr="0057016D">
        <w:rPr>
          <w:sz w:val="20"/>
          <w:lang w:val="pt-BR"/>
        </w:rPr>
        <w:t xml:space="preserve">Se optar por permitir que o Sistema Birth to Three faça cobranças de seu plano de seguro de saúde, você também deve considerar o seguinte </w:t>
      </w:r>
      <w:r w:rsidRPr="0057016D">
        <w:rPr>
          <w:i/>
          <w:iCs/>
          <w:sz w:val="20"/>
          <w:lang w:val="pt-BR"/>
        </w:rPr>
        <w:t>(rubrique cada item ao analisá-lo):</w:t>
      </w:r>
    </w:p>
    <w:p w14:paraId="0C849C73" w14:textId="77777777" w:rsidR="00A027C5" w:rsidRPr="0057016D" w:rsidRDefault="00EE2545" w:rsidP="00EE2545">
      <w:pPr>
        <w:ind w:left="630" w:right="-144" w:hanging="630"/>
        <w:rPr>
          <w:sz w:val="20"/>
          <w:lang w:val="pt-BR"/>
        </w:rPr>
      </w:pPr>
      <w:r w:rsidRPr="0057016D">
        <w:rPr>
          <w:sz w:val="20"/>
          <w:lang w:val="pt-BR"/>
        </w:rPr>
        <w:t>_____Seu seguro de saúde pode ou não concordar em cobrir os serviços do Birth to Three.  Essa decisão não afetará os auxílios que você ou sua família recebem de nenhuma forma.</w:t>
      </w:r>
    </w:p>
    <w:p w14:paraId="56729E53" w14:textId="77777777" w:rsidR="00A027C5" w:rsidRPr="0057016D" w:rsidRDefault="00EE2545" w:rsidP="00EE2545">
      <w:pPr>
        <w:ind w:left="630" w:right="-234" w:hanging="630"/>
        <w:rPr>
          <w:sz w:val="20"/>
          <w:lang w:val="pt-BR"/>
        </w:rPr>
      </w:pPr>
      <w:r w:rsidRPr="0057016D">
        <w:rPr>
          <w:sz w:val="20"/>
          <w:lang w:val="pt-BR"/>
        </w:rPr>
        <w:t xml:space="preserve">_____Se o seu seguro de saúde fornecer a cobertura, a Affordable Care Act (Lei de Serviços de Saúde Acessíveis) pode ou não impedir que seu plano de saúde contabilize esses pagamentos no máximo anual ou nos limites vitalícios da apólice. </w:t>
      </w:r>
    </w:p>
    <w:p w14:paraId="0630B8FD" w14:textId="77777777" w:rsidR="0064046C" w:rsidRPr="0057016D" w:rsidRDefault="00EE2545" w:rsidP="00EE2545">
      <w:pPr>
        <w:ind w:left="630" w:right="-144" w:hanging="630"/>
        <w:rPr>
          <w:sz w:val="20"/>
          <w:lang w:val="pt-BR"/>
        </w:rPr>
      </w:pPr>
      <w:r w:rsidRPr="0057016D">
        <w:rPr>
          <w:sz w:val="20"/>
          <w:lang w:val="pt-BR"/>
        </w:rPr>
        <w:t>_____A decisão de permitir ou não a cobrança cabe somente a você como o segurado indicado E sua decisão pode ser alterada a qualquer momento e por qualquer motivo.</w:t>
      </w:r>
    </w:p>
    <w:p w14:paraId="1635656E" w14:textId="77777777" w:rsidR="0064046C" w:rsidRPr="0057016D" w:rsidRDefault="00EE2545" w:rsidP="00EE2545">
      <w:pPr>
        <w:ind w:left="630" w:right="-144" w:hanging="630"/>
        <w:rPr>
          <w:sz w:val="20"/>
          <w:lang w:val="pt-BR"/>
        </w:rPr>
      </w:pPr>
      <w:r w:rsidRPr="0057016D">
        <w:rPr>
          <w:sz w:val="20"/>
          <w:lang w:val="pt-BR"/>
        </w:rPr>
        <w:t>_____Seu filho/a e família continuarão recebendo os serviços e auxílios especificados em seu Individualized Family Service Plan IFSP (IFSP, Plano de Serviço Familiar Individualizado) independentemente de sua decisão sobre a cobrança do seguro.</w:t>
      </w:r>
    </w:p>
    <w:p w14:paraId="1980E430" w14:textId="77777777" w:rsidR="00090BBE" w:rsidRPr="0057016D" w:rsidRDefault="00090BBE" w:rsidP="00090BBE">
      <w:pPr>
        <w:ind w:right="36"/>
        <w:rPr>
          <w:sz w:val="8"/>
          <w:szCs w:val="8"/>
          <w:lang w:val="pt-BR"/>
        </w:rPr>
      </w:pPr>
    </w:p>
    <w:p w14:paraId="00BEB3E6" w14:textId="77777777" w:rsidR="00A027C5" w:rsidRPr="0057016D" w:rsidRDefault="00A027C5" w:rsidP="00DE5260">
      <w:pPr>
        <w:ind w:right="-144"/>
        <w:rPr>
          <w:sz w:val="20"/>
          <w:lang w:val="pt-BR"/>
        </w:rPr>
      </w:pPr>
      <w:r w:rsidRPr="0057016D">
        <w:rPr>
          <w:sz w:val="20"/>
          <w:lang w:val="pt-BR"/>
        </w:rPr>
        <w:t>Converse sobre essa decisão com seu coordenador de serviço, empregador e família, conforme o necessário, para ter uma compreensão total antes de decidir.</w:t>
      </w:r>
    </w:p>
    <w:p w14:paraId="2F082359" w14:textId="77777777" w:rsidR="00A027C5" w:rsidRPr="0057016D" w:rsidRDefault="00A027C5" w:rsidP="00DE5260">
      <w:pPr>
        <w:pBdr>
          <w:bottom w:val="double" w:sz="4" w:space="1" w:color="auto"/>
        </w:pBdr>
        <w:ind w:right="-144"/>
        <w:rPr>
          <w:sz w:val="8"/>
          <w:szCs w:val="8"/>
          <w:lang w:val="pt-BR"/>
        </w:rPr>
      </w:pPr>
    </w:p>
    <w:p w14:paraId="6640C7ED" w14:textId="77777777" w:rsidR="00297DA4" w:rsidRPr="0057016D" w:rsidRDefault="00090BBE" w:rsidP="00297DA4">
      <w:pPr>
        <w:tabs>
          <w:tab w:val="left" w:pos="720"/>
        </w:tabs>
        <w:ind w:right="-144"/>
        <w:rPr>
          <w:sz w:val="20"/>
          <w:lang w:val="pt-BR"/>
        </w:rPr>
      </w:pPr>
      <w:r w:rsidRPr="0057016D">
        <w:rPr>
          <w:b/>
          <w:bCs/>
          <w:sz w:val="20"/>
          <w:lang w:val="pt-BR"/>
        </w:rPr>
        <w:t>Autorização de cobrança não obrigatória (deve ser preenchida com Formulário 1-3)</w:t>
      </w:r>
    </w:p>
    <w:p w14:paraId="5E42B616" w14:textId="77777777" w:rsidR="00297DA4" w:rsidRPr="0057016D" w:rsidRDefault="00297DA4" w:rsidP="00297DA4">
      <w:pPr>
        <w:tabs>
          <w:tab w:val="left" w:pos="720"/>
        </w:tabs>
        <w:ind w:right="-144"/>
        <w:rPr>
          <w:sz w:val="14"/>
          <w:szCs w:val="14"/>
          <w:lang w:val="pt-BR"/>
        </w:rPr>
      </w:pPr>
    </w:p>
    <w:p w14:paraId="40504A33" w14:textId="77777777" w:rsidR="00A027C5" w:rsidRPr="0057016D" w:rsidRDefault="00A027C5" w:rsidP="00297DA4">
      <w:pPr>
        <w:tabs>
          <w:tab w:val="left" w:pos="720"/>
        </w:tabs>
        <w:ind w:right="-144"/>
        <w:rPr>
          <w:b/>
          <w:sz w:val="20"/>
          <w:lang w:val="pt-BR"/>
        </w:rPr>
      </w:pPr>
      <w:r w:rsidRPr="0057016D">
        <w:rPr>
          <w:sz w:val="20"/>
          <w:lang w:val="pt-BR"/>
        </w:rPr>
        <w:t xml:space="preserve">Eu </w:t>
      </w:r>
      <w:r w:rsidRPr="0057016D">
        <w:rPr>
          <w:sz w:val="20"/>
          <w:u w:val="single"/>
          <w:lang w:val="pt-BR"/>
        </w:rPr>
        <w:t>concedo permissão</w:t>
      </w:r>
      <w:r w:rsidRPr="0057016D">
        <w:rPr>
          <w:sz w:val="20"/>
          <w:lang w:val="pt-BR"/>
        </w:rPr>
        <w:t xml:space="preserve"> ao Programa Birth to Three listado acima enviar informações para cobrar de meu plano de saúde, que é isento de obrigações previstas na leis de Connecticut para seguradoras. Se o pagamento pelos serviços do Birth to Three for enviado diretamente a mim, devo enviar o pagamento ao meu Programa Birth to Three. Esta permissão permanece em vigor durante o período em que meu filho/a estiver inscrito/a no Sistema Birth to Three de Connecticut ou até que eu revise este formulário para revogar a permissão. Preencherei um novo Formulário 1-3 se eu adquirir um novo seguro.  </w:t>
      </w:r>
    </w:p>
    <w:p w14:paraId="633B690E" w14:textId="77777777" w:rsidR="00297DA4" w:rsidRPr="0057016D" w:rsidRDefault="00297DA4" w:rsidP="00297DA4">
      <w:pPr>
        <w:tabs>
          <w:tab w:val="left" w:pos="3600"/>
          <w:tab w:val="left" w:pos="4770"/>
          <w:tab w:val="left" w:pos="7830"/>
          <w:tab w:val="left" w:pos="9000"/>
          <w:tab w:val="left" w:pos="10080"/>
        </w:tabs>
        <w:rPr>
          <w:rFonts w:cs="Arial"/>
          <w:b/>
          <w:sz w:val="14"/>
          <w:szCs w:val="14"/>
          <w:u w:val="single"/>
          <w:lang w:val="pt-BR"/>
        </w:rPr>
      </w:pPr>
    </w:p>
    <w:p w14:paraId="793A38D1" w14:textId="77777777" w:rsidR="00297DA4" w:rsidRPr="0057016D" w:rsidRDefault="00297DA4" w:rsidP="00297DA4">
      <w:pPr>
        <w:tabs>
          <w:tab w:val="left" w:pos="3600"/>
          <w:tab w:val="left" w:pos="4770"/>
          <w:tab w:val="left" w:pos="7830"/>
          <w:tab w:val="left" w:pos="9000"/>
          <w:tab w:val="left" w:pos="10080"/>
        </w:tabs>
        <w:rPr>
          <w:rFonts w:cs="Arial"/>
          <w:b/>
          <w:sz w:val="20"/>
          <w:u w:val="single"/>
          <w:lang w:val="pt-BR"/>
        </w:rPr>
      </w:pPr>
      <w:r w:rsidRPr="0057016D">
        <w:rPr>
          <w:rFonts w:cs="Arial"/>
          <w:b/>
          <w:bCs/>
          <w:sz w:val="20"/>
          <w:u w:val="single"/>
          <w:lang w:val="pt-BR"/>
        </w:rPr>
        <w:tab/>
      </w:r>
      <w:r w:rsidRPr="0057016D">
        <w:rPr>
          <w:rFonts w:cs="Arial"/>
          <w:b/>
          <w:bCs/>
          <w:sz w:val="20"/>
          <w:lang w:val="pt-BR"/>
        </w:rPr>
        <w:tab/>
      </w:r>
      <w:r w:rsidRPr="0057016D">
        <w:rPr>
          <w:rFonts w:cs="Arial"/>
          <w:b/>
          <w:bCs/>
          <w:sz w:val="20"/>
          <w:u w:val="single"/>
          <w:lang w:val="pt-BR"/>
        </w:rPr>
        <w:tab/>
      </w:r>
      <w:r w:rsidRPr="0057016D">
        <w:rPr>
          <w:rFonts w:cs="Arial"/>
          <w:b/>
          <w:bCs/>
          <w:sz w:val="20"/>
          <w:lang w:val="pt-BR"/>
        </w:rPr>
        <w:tab/>
      </w:r>
      <w:r w:rsidRPr="0057016D">
        <w:rPr>
          <w:rFonts w:cs="Arial"/>
          <w:b/>
          <w:bCs/>
          <w:sz w:val="20"/>
          <w:u w:val="single"/>
          <w:lang w:val="pt-BR"/>
        </w:rPr>
        <w:tab/>
      </w:r>
    </w:p>
    <w:p w14:paraId="49A297FF" w14:textId="77777777" w:rsidR="00297DA4" w:rsidRPr="0057016D" w:rsidRDefault="00297DA4" w:rsidP="00297DA4">
      <w:pPr>
        <w:tabs>
          <w:tab w:val="center" w:pos="1530"/>
          <w:tab w:val="center" w:pos="6120"/>
          <w:tab w:val="center" w:pos="9540"/>
        </w:tabs>
        <w:rPr>
          <w:rFonts w:cs="Arial"/>
          <w:sz w:val="20"/>
          <w:lang w:val="pt-BR"/>
        </w:rPr>
      </w:pPr>
      <w:r w:rsidRPr="0057016D">
        <w:rPr>
          <w:rFonts w:cs="Arial"/>
          <w:sz w:val="20"/>
          <w:lang w:val="pt-BR"/>
        </w:rPr>
        <w:tab/>
        <w:t>Nome em letra de fôrma</w:t>
      </w:r>
      <w:r w:rsidRPr="0057016D">
        <w:rPr>
          <w:rFonts w:cs="Arial"/>
          <w:sz w:val="20"/>
          <w:lang w:val="pt-BR"/>
        </w:rPr>
        <w:tab/>
        <w:t>Assinatura</w:t>
      </w:r>
      <w:r w:rsidRPr="0057016D">
        <w:rPr>
          <w:rFonts w:cs="Arial"/>
          <w:sz w:val="20"/>
          <w:lang w:val="pt-BR"/>
        </w:rPr>
        <w:tab/>
        <w:t>Data</w:t>
      </w:r>
    </w:p>
    <w:p w14:paraId="7DADE507" w14:textId="77777777" w:rsidR="00A027C5" w:rsidRPr="0057016D" w:rsidRDefault="00CA256F" w:rsidP="00CA256F">
      <w:pPr>
        <w:rPr>
          <w:b/>
          <w:sz w:val="20"/>
          <w:lang w:val="pt-BR"/>
        </w:rPr>
      </w:pPr>
      <w:r w:rsidRPr="0057016D">
        <w:rPr>
          <w:sz w:val="20"/>
          <w:lang w:val="pt-BR"/>
        </w:rPr>
        <w:t xml:space="preserve">                                                                   </w:t>
      </w:r>
      <w:r w:rsidRPr="0057016D">
        <w:rPr>
          <w:b/>
          <w:bCs/>
          <w:sz w:val="20"/>
          <w:lang w:val="pt-BR"/>
        </w:rPr>
        <w:t>OU</w:t>
      </w:r>
    </w:p>
    <w:p w14:paraId="1338441E" w14:textId="77777777" w:rsidR="00297DA4" w:rsidRPr="0057016D" w:rsidRDefault="00297DA4" w:rsidP="00297DA4">
      <w:pPr>
        <w:tabs>
          <w:tab w:val="left" w:pos="3600"/>
          <w:tab w:val="left" w:pos="4770"/>
          <w:tab w:val="left" w:pos="7830"/>
          <w:tab w:val="left" w:pos="9000"/>
          <w:tab w:val="left" w:pos="10080"/>
        </w:tabs>
        <w:rPr>
          <w:rFonts w:cs="Arial"/>
          <w:b/>
          <w:sz w:val="8"/>
          <w:szCs w:val="8"/>
          <w:u w:val="single"/>
          <w:lang w:val="pt-BR"/>
        </w:rPr>
      </w:pPr>
    </w:p>
    <w:p w14:paraId="7099EF10" w14:textId="77777777" w:rsidR="00F13983" w:rsidRPr="0057016D" w:rsidRDefault="00297DA4" w:rsidP="00DE5260">
      <w:pPr>
        <w:rPr>
          <w:sz w:val="16"/>
          <w:szCs w:val="16"/>
          <w:lang w:val="pt-BR"/>
        </w:rPr>
      </w:pPr>
      <w:r w:rsidRPr="0057016D">
        <w:rPr>
          <w:sz w:val="20"/>
          <w:lang w:val="pt-BR"/>
        </w:rPr>
        <w:t xml:space="preserve">Eu </w:t>
      </w:r>
      <w:r w:rsidRPr="0057016D">
        <w:rPr>
          <w:sz w:val="20"/>
          <w:u w:val="single"/>
          <w:lang w:val="pt-BR"/>
        </w:rPr>
        <w:t>não concedo nem revogo a permissão</w:t>
      </w:r>
      <w:r w:rsidRPr="0057016D">
        <w:rPr>
          <w:sz w:val="20"/>
          <w:lang w:val="pt-BR"/>
        </w:rPr>
        <w:t xml:space="preserve"> para o Programa Birth to Three listado acima enviar informações para cobrar de meu seguro de saúde, que é isento de obrigações previstas nas leis de Connecticut para seguradoras. </w:t>
      </w:r>
    </w:p>
    <w:p w14:paraId="5C75338B" w14:textId="77777777" w:rsidR="00297DA4" w:rsidRPr="0057016D" w:rsidRDefault="00297DA4" w:rsidP="00297DA4">
      <w:pPr>
        <w:tabs>
          <w:tab w:val="left" w:pos="3600"/>
          <w:tab w:val="left" w:pos="4770"/>
          <w:tab w:val="left" w:pos="7830"/>
          <w:tab w:val="left" w:pos="9000"/>
          <w:tab w:val="left" w:pos="10080"/>
        </w:tabs>
        <w:rPr>
          <w:rFonts w:cs="Arial"/>
          <w:b/>
          <w:sz w:val="20"/>
          <w:u w:val="single"/>
          <w:lang w:val="pt-BR"/>
        </w:rPr>
      </w:pPr>
      <w:r w:rsidRPr="0057016D">
        <w:rPr>
          <w:rFonts w:cs="Arial"/>
          <w:b/>
          <w:bCs/>
          <w:sz w:val="20"/>
          <w:u w:val="single"/>
          <w:lang w:val="pt-BR"/>
        </w:rPr>
        <w:tab/>
      </w:r>
      <w:r w:rsidRPr="0057016D">
        <w:rPr>
          <w:rFonts w:cs="Arial"/>
          <w:b/>
          <w:bCs/>
          <w:sz w:val="20"/>
          <w:lang w:val="pt-BR"/>
        </w:rPr>
        <w:tab/>
      </w:r>
      <w:r w:rsidRPr="0057016D">
        <w:rPr>
          <w:rFonts w:cs="Arial"/>
          <w:b/>
          <w:bCs/>
          <w:sz w:val="20"/>
          <w:u w:val="single"/>
          <w:lang w:val="pt-BR"/>
        </w:rPr>
        <w:tab/>
      </w:r>
      <w:r w:rsidRPr="0057016D">
        <w:rPr>
          <w:rFonts w:cs="Arial"/>
          <w:b/>
          <w:bCs/>
          <w:sz w:val="20"/>
          <w:lang w:val="pt-BR"/>
        </w:rPr>
        <w:tab/>
      </w:r>
      <w:r w:rsidRPr="0057016D">
        <w:rPr>
          <w:rFonts w:cs="Arial"/>
          <w:b/>
          <w:bCs/>
          <w:sz w:val="20"/>
          <w:u w:val="single"/>
          <w:lang w:val="pt-BR"/>
        </w:rPr>
        <w:tab/>
      </w:r>
    </w:p>
    <w:p w14:paraId="174749B8" w14:textId="77777777" w:rsidR="00297DA4" w:rsidRPr="0057104C" w:rsidRDefault="00297DA4" w:rsidP="00297DA4">
      <w:pPr>
        <w:tabs>
          <w:tab w:val="center" w:pos="1530"/>
          <w:tab w:val="center" w:pos="6120"/>
          <w:tab w:val="center" w:pos="9540"/>
        </w:tabs>
        <w:rPr>
          <w:rFonts w:cs="Arial"/>
          <w:sz w:val="20"/>
          <w:lang w:val="pt-BR"/>
        </w:rPr>
      </w:pPr>
      <w:r w:rsidRPr="0057016D">
        <w:rPr>
          <w:rFonts w:cs="Arial"/>
          <w:sz w:val="20"/>
          <w:lang w:val="pt-BR"/>
        </w:rPr>
        <w:tab/>
        <w:t>Nome em letra de fôrma</w:t>
      </w:r>
      <w:r w:rsidRPr="0057016D">
        <w:rPr>
          <w:rFonts w:cs="Arial"/>
          <w:sz w:val="20"/>
          <w:lang w:val="pt-BR"/>
        </w:rPr>
        <w:tab/>
        <w:t>Assinatura</w:t>
      </w:r>
      <w:r w:rsidRPr="0057016D">
        <w:rPr>
          <w:rFonts w:cs="Arial"/>
          <w:sz w:val="20"/>
          <w:lang w:val="pt-BR"/>
        </w:rPr>
        <w:tab/>
        <w:t>Data</w:t>
      </w:r>
    </w:p>
    <w:sectPr w:rsidR="00297DA4" w:rsidRPr="0057104C" w:rsidSect="008675EA">
      <w:headerReference w:type="default" r:id="rId8"/>
      <w:footerReference w:type="even" r:id="rId9"/>
      <w:footerReference w:type="default" r:id="rId10"/>
      <w:type w:val="continuous"/>
      <w:pgSz w:w="12240" w:h="15840"/>
      <w:pgMar w:top="720" w:right="720" w:bottom="720"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182B" w14:textId="77777777" w:rsidR="00DE76D1" w:rsidRDefault="00DE76D1">
      <w:r>
        <w:separator/>
      </w:r>
    </w:p>
  </w:endnote>
  <w:endnote w:type="continuationSeparator" w:id="0">
    <w:p w14:paraId="4C2A34F8" w14:textId="77777777" w:rsidR="00DE76D1" w:rsidRDefault="00DE76D1">
      <w:r>
        <w:continuationSeparator/>
      </w:r>
    </w:p>
  </w:endnote>
  <w:endnote w:type="continuationNotice" w:id="1">
    <w:p w14:paraId="2A68AC98" w14:textId="77777777" w:rsidR="00DE76D1" w:rsidRDefault="00DE7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3470" w14:textId="468722A7" w:rsidR="0013588C" w:rsidRPr="00CB159B" w:rsidRDefault="00CB159B" w:rsidP="00CB159B">
    <w:pPr>
      <w:pStyle w:val="Footer"/>
      <w:rPr>
        <w:sz w:val="18"/>
        <w:lang w:val="pt-BR"/>
      </w:rPr>
    </w:pPr>
    <w:r>
      <w:rPr>
        <w:sz w:val="18"/>
        <w:lang w:val="pt-BR"/>
      </w:rPr>
      <w:t xml:space="preserve">Formulário </w:t>
    </w:r>
    <w:r>
      <w:rPr>
        <w:sz w:val="18"/>
        <w:lang w:val="pt-BR"/>
      </w:rPr>
      <w:t xml:space="preserve">1-3a do Sistema </w:t>
    </w:r>
    <w:r>
      <w:rPr>
        <w:sz w:val="18"/>
        <w:highlight w:val="yellow"/>
        <w:lang w:val="pt-BR"/>
      </w:rPr>
      <w:t>Birth to Three</w:t>
    </w:r>
    <w:r>
      <w:rPr>
        <w:sz w:val="18"/>
        <w:lang w:val="pt-BR"/>
      </w:rPr>
      <w:t xml:space="preserve"> de Connecticut (em vigor desde 01/07/2019, revisado em 01/07/2021)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F7D1" w14:textId="77777777" w:rsidR="0013588C" w:rsidRPr="004D281F" w:rsidRDefault="0013588C">
    <w:pPr>
      <w:pStyle w:val="Footer"/>
      <w:rPr>
        <w:sz w:val="18"/>
        <w:lang w:val="pt-BR"/>
      </w:rPr>
    </w:pPr>
    <w:r w:rsidRPr="0057104C">
      <w:rPr>
        <w:sz w:val="18"/>
        <w:lang w:val="pt-BR"/>
      </w:rPr>
      <w:t>Formulário 1-3a do Sistema Birth to Three de Connecticut (em vigor desde 01/07/2019, revisado em 01/07/2021)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5544" w14:textId="77777777" w:rsidR="00DE76D1" w:rsidRDefault="00DE76D1">
      <w:r>
        <w:separator/>
      </w:r>
    </w:p>
  </w:footnote>
  <w:footnote w:type="continuationSeparator" w:id="0">
    <w:p w14:paraId="70B7A6FA" w14:textId="77777777" w:rsidR="00DE76D1" w:rsidRDefault="00DE76D1">
      <w:r>
        <w:continuationSeparator/>
      </w:r>
    </w:p>
  </w:footnote>
  <w:footnote w:type="continuationNotice" w:id="1">
    <w:p w14:paraId="69FD26A7" w14:textId="77777777" w:rsidR="00DE76D1" w:rsidRDefault="00DE7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44BB" w14:textId="65EF63FD" w:rsidR="00B52B17" w:rsidRPr="004D281F" w:rsidRDefault="00102606" w:rsidP="00946250">
    <w:pPr>
      <w:jc w:val="center"/>
      <w:rPr>
        <w:b/>
        <w:lang w:val="pt-BR"/>
      </w:rPr>
    </w:pPr>
    <w:r>
      <w:rPr>
        <w:b/>
        <w:bCs/>
        <w:lang w:val="pt-BR"/>
      </w:rPr>
      <w:t>Consentimento informado para cobrar planos de seguro de saúde isentos de obrigações previstas para seguradoras em Connecticut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C11F3"/>
    <w:multiLevelType w:val="hybridMultilevel"/>
    <w:tmpl w:val="7C70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29B6426"/>
    <w:multiLevelType w:val="hybridMultilevel"/>
    <w:tmpl w:val="BA0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3"/>
  </w:num>
  <w:num w:numId="5">
    <w:abstractNumId w:val="4"/>
  </w:num>
  <w:num w:numId="6">
    <w:abstractNumId w:val="2"/>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15ABD"/>
    <w:rsid w:val="0001699A"/>
    <w:rsid w:val="00032CCC"/>
    <w:rsid w:val="00037AC2"/>
    <w:rsid w:val="000541BB"/>
    <w:rsid w:val="0005471F"/>
    <w:rsid w:val="000757EB"/>
    <w:rsid w:val="000777C6"/>
    <w:rsid w:val="00090BBE"/>
    <w:rsid w:val="000936F7"/>
    <w:rsid w:val="000A63E3"/>
    <w:rsid w:val="000B4DA0"/>
    <w:rsid w:val="000C286E"/>
    <w:rsid w:val="000C6AB6"/>
    <w:rsid w:val="000D3C10"/>
    <w:rsid w:val="000E6AC2"/>
    <w:rsid w:val="00102606"/>
    <w:rsid w:val="00127380"/>
    <w:rsid w:val="0013588C"/>
    <w:rsid w:val="00155243"/>
    <w:rsid w:val="001757FF"/>
    <w:rsid w:val="001F1E04"/>
    <w:rsid w:val="001F268F"/>
    <w:rsid w:val="00215B4D"/>
    <w:rsid w:val="002214CF"/>
    <w:rsid w:val="002338DA"/>
    <w:rsid w:val="0025371A"/>
    <w:rsid w:val="002553CD"/>
    <w:rsid w:val="002761E4"/>
    <w:rsid w:val="002829FE"/>
    <w:rsid w:val="002953EE"/>
    <w:rsid w:val="00297DA4"/>
    <w:rsid w:val="002C5667"/>
    <w:rsid w:val="002D5862"/>
    <w:rsid w:val="002F1CBD"/>
    <w:rsid w:val="00305AA8"/>
    <w:rsid w:val="00346BCB"/>
    <w:rsid w:val="00366093"/>
    <w:rsid w:val="00371D77"/>
    <w:rsid w:val="00372C35"/>
    <w:rsid w:val="003A06FA"/>
    <w:rsid w:val="003A336A"/>
    <w:rsid w:val="003C3530"/>
    <w:rsid w:val="003C5533"/>
    <w:rsid w:val="003D3023"/>
    <w:rsid w:val="003D3EBF"/>
    <w:rsid w:val="00404B46"/>
    <w:rsid w:val="00415587"/>
    <w:rsid w:val="00420778"/>
    <w:rsid w:val="004209A3"/>
    <w:rsid w:val="00443017"/>
    <w:rsid w:val="0044304C"/>
    <w:rsid w:val="00451CA3"/>
    <w:rsid w:val="00483406"/>
    <w:rsid w:val="004C5A09"/>
    <w:rsid w:val="004D281F"/>
    <w:rsid w:val="004D56B9"/>
    <w:rsid w:val="005003A0"/>
    <w:rsid w:val="0050680D"/>
    <w:rsid w:val="00514EBE"/>
    <w:rsid w:val="00517377"/>
    <w:rsid w:val="00522BB7"/>
    <w:rsid w:val="0053718C"/>
    <w:rsid w:val="00541F7B"/>
    <w:rsid w:val="005460CB"/>
    <w:rsid w:val="00547A41"/>
    <w:rsid w:val="00552CAD"/>
    <w:rsid w:val="00554489"/>
    <w:rsid w:val="00557817"/>
    <w:rsid w:val="00565F98"/>
    <w:rsid w:val="0057016D"/>
    <w:rsid w:val="0057104C"/>
    <w:rsid w:val="005A615A"/>
    <w:rsid w:val="005B1797"/>
    <w:rsid w:val="005B3A3A"/>
    <w:rsid w:val="005C0B7A"/>
    <w:rsid w:val="005C6250"/>
    <w:rsid w:val="005E1CD8"/>
    <w:rsid w:val="005F1238"/>
    <w:rsid w:val="005F158E"/>
    <w:rsid w:val="005F4118"/>
    <w:rsid w:val="005F4672"/>
    <w:rsid w:val="006229D4"/>
    <w:rsid w:val="006255CE"/>
    <w:rsid w:val="0064046C"/>
    <w:rsid w:val="00651B87"/>
    <w:rsid w:val="00655E92"/>
    <w:rsid w:val="00674751"/>
    <w:rsid w:val="006834BE"/>
    <w:rsid w:val="006873DC"/>
    <w:rsid w:val="006930A0"/>
    <w:rsid w:val="006B131F"/>
    <w:rsid w:val="006B4F16"/>
    <w:rsid w:val="006B671F"/>
    <w:rsid w:val="006D77B7"/>
    <w:rsid w:val="006D7DB2"/>
    <w:rsid w:val="006E014E"/>
    <w:rsid w:val="006E3F31"/>
    <w:rsid w:val="006E7176"/>
    <w:rsid w:val="007000BB"/>
    <w:rsid w:val="00706F60"/>
    <w:rsid w:val="00707F06"/>
    <w:rsid w:val="007156EB"/>
    <w:rsid w:val="00762339"/>
    <w:rsid w:val="00764630"/>
    <w:rsid w:val="00765DAB"/>
    <w:rsid w:val="0077211A"/>
    <w:rsid w:val="007726C9"/>
    <w:rsid w:val="0079232D"/>
    <w:rsid w:val="007B0E57"/>
    <w:rsid w:val="007D323F"/>
    <w:rsid w:val="007E54FB"/>
    <w:rsid w:val="008109EC"/>
    <w:rsid w:val="00835483"/>
    <w:rsid w:val="00840946"/>
    <w:rsid w:val="00845AB0"/>
    <w:rsid w:val="008612E8"/>
    <w:rsid w:val="008675EA"/>
    <w:rsid w:val="00872A1A"/>
    <w:rsid w:val="008937CD"/>
    <w:rsid w:val="008A1CB6"/>
    <w:rsid w:val="008C10B0"/>
    <w:rsid w:val="008C3A4A"/>
    <w:rsid w:val="008C4DC8"/>
    <w:rsid w:val="008E1518"/>
    <w:rsid w:val="00906132"/>
    <w:rsid w:val="0090699B"/>
    <w:rsid w:val="0093000B"/>
    <w:rsid w:val="00932B58"/>
    <w:rsid w:val="009340F1"/>
    <w:rsid w:val="009430CD"/>
    <w:rsid w:val="009437DC"/>
    <w:rsid w:val="00946250"/>
    <w:rsid w:val="00950E27"/>
    <w:rsid w:val="009942D5"/>
    <w:rsid w:val="00994DA3"/>
    <w:rsid w:val="009A51E9"/>
    <w:rsid w:val="009B6197"/>
    <w:rsid w:val="009C0AEA"/>
    <w:rsid w:val="009D3F05"/>
    <w:rsid w:val="009F4655"/>
    <w:rsid w:val="00A00AFC"/>
    <w:rsid w:val="00A027C5"/>
    <w:rsid w:val="00A029CA"/>
    <w:rsid w:val="00A4718B"/>
    <w:rsid w:val="00A50409"/>
    <w:rsid w:val="00A62C28"/>
    <w:rsid w:val="00A73002"/>
    <w:rsid w:val="00AA07E5"/>
    <w:rsid w:val="00AA0BFA"/>
    <w:rsid w:val="00AA1EB8"/>
    <w:rsid w:val="00AA4A1E"/>
    <w:rsid w:val="00AA5E00"/>
    <w:rsid w:val="00AF5031"/>
    <w:rsid w:val="00AF735B"/>
    <w:rsid w:val="00B0232E"/>
    <w:rsid w:val="00B24C35"/>
    <w:rsid w:val="00B31EDA"/>
    <w:rsid w:val="00B52B17"/>
    <w:rsid w:val="00B661B7"/>
    <w:rsid w:val="00B81E07"/>
    <w:rsid w:val="00B906A0"/>
    <w:rsid w:val="00B96975"/>
    <w:rsid w:val="00BB7569"/>
    <w:rsid w:val="00BC21E7"/>
    <w:rsid w:val="00BC5959"/>
    <w:rsid w:val="00BE2532"/>
    <w:rsid w:val="00BE5907"/>
    <w:rsid w:val="00BF20E4"/>
    <w:rsid w:val="00C36611"/>
    <w:rsid w:val="00C56048"/>
    <w:rsid w:val="00C86505"/>
    <w:rsid w:val="00C95CFD"/>
    <w:rsid w:val="00CA256F"/>
    <w:rsid w:val="00CA54A6"/>
    <w:rsid w:val="00CA61C7"/>
    <w:rsid w:val="00CB159B"/>
    <w:rsid w:val="00CB7652"/>
    <w:rsid w:val="00CC19AD"/>
    <w:rsid w:val="00CC56D1"/>
    <w:rsid w:val="00CD4445"/>
    <w:rsid w:val="00CF402D"/>
    <w:rsid w:val="00D02116"/>
    <w:rsid w:val="00D16171"/>
    <w:rsid w:val="00D23605"/>
    <w:rsid w:val="00D27D6F"/>
    <w:rsid w:val="00D376C9"/>
    <w:rsid w:val="00D446CC"/>
    <w:rsid w:val="00D46628"/>
    <w:rsid w:val="00D515B0"/>
    <w:rsid w:val="00D538B7"/>
    <w:rsid w:val="00D633A8"/>
    <w:rsid w:val="00D73252"/>
    <w:rsid w:val="00DA2033"/>
    <w:rsid w:val="00DC104D"/>
    <w:rsid w:val="00DC55A6"/>
    <w:rsid w:val="00DC5DC8"/>
    <w:rsid w:val="00DE5260"/>
    <w:rsid w:val="00DE76D1"/>
    <w:rsid w:val="00E07FF7"/>
    <w:rsid w:val="00E10A6D"/>
    <w:rsid w:val="00E11726"/>
    <w:rsid w:val="00E1202C"/>
    <w:rsid w:val="00E44A9C"/>
    <w:rsid w:val="00E60A8D"/>
    <w:rsid w:val="00E61FF5"/>
    <w:rsid w:val="00EB3A15"/>
    <w:rsid w:val="00ED1B15"/>
    <w:rsid w:val="00EE2545"/>
    <w:rsid w:val="00EE7586"/>
    <w:rsid w:val="00F01585"/>
    <w:rsid w:val="00F0608A"/>
    <w:rsid w:val="00F13983"/>
    <w:rsid w:val="00F37D4D"/>
    <w:rsid w:val="00F43704"/>
    <w:rsid w:val="00F524E6"/>
    <w:rsid w:val="00F5350E"/>
    <w:rsid w:val="00F54AB2"/>
    <w:rsid w:val="00F741DB"/>
    <w:rsid w:val="00FA0813"/>
    <w:rsid w:val="00FF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0D609"/>
  <w15:chartTrackingRefBased/>
  <w15:docId w15:val="{B13E1E5D-BEFB-4FC7-8EA5-725FD8B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90699B"/>
    <w:rPr>
      <w:sz w:val="16"/>
      <w:szCs w:val="16"/>
    </w:rPr>
  </w:style>
  <w:style w:type="paragraph" w:styleId="CommentText">
    <w:name w:val="annotation text"/>
    <w:basedOn w:val="Normal"/>
    <w:link w:val="CommentTextChar"/>
    <w:rsid w:val="0090699B"/>
    <w:rPr>
      <w:sz w:val="20"/>
    </w:rPr>
  </w:style>
  <w:style w:type="character" w:customStyle="1" w:styleId="CommentTextChar">
    <w:name w:val="Comment Text Char"/>
    <w:link w:val="CommentText"/>
    <w:rsid w:val="0090699B"/>
    <w:rPr>
      <w:rFonts w:ascii="Arial" w:hAnsi="Arial"/>
    </w:rPr>
  </w:style>
  <w:style w:type="paragraph" w:styleId="CommentSubject">
    <w:name w:val="annotation subject"/>
    <w:basedOn w:val="CommentText"/>
    <w:next w:val="CommentText"/>
    <w:link w:val="CommentSubjectChar"/>
    <w:rsid w:val="0090699B"/>
    <w:rPr>
      <w:b/>
      <w:bCs/>
    </w:rPr>
  </w:style>
  <w:style w:type="character" w:customStyle="1" w:styleId="CommentSubjectChar">
    <w:name w:val="Comment Subject Char"/>
    <w:link w:val="CommentSubject"/>
    <w:rsid w:val="0090699B"/>
    <w:rPr>
      <w:rFonts w:ascii="Arial" w:hAnsi="Arial"/>
      <w:b/>
      <w:bCs/>
    </w:rPr>
  </w:style>
  <w:style w:type="paragraph" w:styleId="Revision">
    <w:name w:val="Revision"/>
    <w:hidden/>
    <w:uiPriority w:val="99"/>
    <w:semiHidden/>
    <w:rsid w:val="007721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335D-AD7E-4BCF-B3BB-D7755850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599</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Johana Consoli</cp:lastModifiedBy>
  <cp:revision>10</cp:revision>
  <cp:lastPrinted>2014-06-17T11:55:00Z</cp:lastPrinted>
  <dcterms:created xsi:type="dcterms:W3CDTF">2021-07-01T11:59:00Z</dcterms:created>
  <dcterms:modified xsi:type="dcterms:W3CDTF">2021-07-15T19:48:00Z</dcterms:modified>
</cp:coreProperties>
</file>